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32DA" w14:textId="05DE2DE6" w:rsidR="001946F7" w:rsidRDefault="001946F7" w:rsidP="001946F7">
      <w:pPr>
        <w:pStyle w:val="Heading1"/>
      </w:pPr>
      <w:bookmarkStart w:id="0" w:name="_Toc38523494"/>
      <w:r w:rsidRPr="006A254D">
        <w:t>Marketing</w:t>
      </w:r>
      <w:bookmarkEnd w:id="0"/>
    </w:p>
    <w:p w14:paraId="5808C344" w14:textId="77777777" w:rsidR="001946F7" w:rsidRPr="0004570B" w:rsidRDefault="001946F7" w:rsidP="001946F7">
      <w:pPr>
        <w:keepNext/>
      </w:pPr>
    </w:p>
    <w:p w14:paraId="6337DB06" w14:textId="77777777" w:rsidR="001946F7" w:rsidRPr="00453B2A" w:rsidRDefault="001946F7" w:rsidP="00763550">
      <w:pPr>
        <w:pStyle w:val="Heading2"/>
        <w:numPr>
          <w:ilvl w:val="0"/>
          <w:numId w:val="0"/>
        </w:numPr>
        <w:ind w:left="360" w:hanging="360"/>
        <w:rPr>
          <w:u w:val="single"/>
        </w:rPr>
      </w:pPr>
      <w:bookmarkStart w:id="1" w:name="_General_Advertising_Policy"/>
      <w:bookmarkStart w:id="2" w:name="_Toc38523495"/>
      <w:bookmarkEnd w:id="1"/>
      <w:r w:rsidRPr="00453B2A">
        <w:rPr>
          <w:u w:val="single"/>
        </w:rPr>
        <w:t>General Advertising Policy</w:t>
      </w:r>
      <w:bookmarkEnd w:id="2"/>
      <w:r w:rsidRPr="00453B2A">
        <w:rPr>
          <w:u w:val="single"/>
        </w:rPr>
        <w:t xml:space="preserve"> </w:t>
      </w:r>
    </w:p>
    <w:p w14:paraId="70DA4E6B" w14:textId="77777777" w:rsidR="001946F7" w:rsidRPr="0004570B" w:rsidRDefault="001946F7" w:rsidP="001946F7">
      <w:pPr>
        <w:keepNext/>
      </w:pPr>
    </w:p>
    <w:p w14:paraId="01FF4587" w14:textId="77777777" w:rsidR="001946F7" w:rsidRPr="006A254D" w:rsidRDefault="001946F7" w:rsidP="001946F7">
      <w:pPr>
        <w:pStyle w:val="Heading3"/>
      </w:pPr>
      <w:r w:rsidRPr="006A254D">
        <w:t>Background</w:t>
      </w:r>
    </w:p>
    <w:p w14:paraId="391AF9D3" w14:textId="77777777" w:rsidR="001946F7" w:rsidRPr="006A254D" w:rsidRDefault="001946F7" w:rsidP="001946F7">
      <w:pPr>
        <w:keepNext/>
      </w:pPr>
    </w:p>
    <w:p w14:paraId="1263B93E" w14:textId="32817879" w:rsidR="003B4888" w:rsidRDefault="006A3E64" w:rsidP="001946F7">
      <w:pPr>
        <w:pStyle w:val="Heading4"/>
        <w:rPr>
          <w:rFonts w:asciiTheme="minorHAnsi" w:hAnsiTheme="minorHAnsi" w:cstheme="minorHAnsi"/>
          <w:i w:val="0"/>
          <w:iCs w:val="0"/>
          <w:sz w:val="22"/>
          <w:szCs w:val="20"/>
        </w:rPr>
      </w:pPr>
      <w:bookmarkStart w:id="3" w:name="_Toc287287362"/>
      <w:r>
        <w:rPr>
          <w:rFonts w:asciiTheme="minorHAnsi" w:hAnsiTheme="minorHAnsi" w:cstheme="minorHAnsi"/>
          <w:i w:val="0"/>
          <w:iCs w:val="0"/>
          <w:sz w:val="22"/>
          <w:szCs w:val="20"/>
        </w:rPr>
        <w:t>SEC Rule 206(</w:t>
      </w:r>
      <w:r w:rsidR="00B906E9">
        <w:rPr>
          <w:rFonts w:asciiTheme="minorHAnsi" w:hAnsiTheme="minorHAnsi" w:cstheme="minorHAnsi"/>
          <w:i w:val="0"/>
          <w:iCs w:val="0"/>
          <w:sz w:val="22"/>
          <w:szCs w:val="20"/>
        </w:rPr>
        <w:t>4)-1, t</w:t>
      </w:r>
      <w:r w:rsidR="003E576E">
        <w:rPr>
          <w:rFonts w:asciiTheme="minorHAnsi" w:hAnsiTheme="minorHAnsi" w:cstheme="minorHAnsi"/>
          <w:i w:val="0"/>
          <w:iCs w:val="0"/>
          <w:sz w:val="22"/>
          <w:szCs w:val="20"/>
        </w:rPr>
        <w:t>he “advertising rule</w:t>
      </w:r>
      <w:r w:rsidR="00B906E9">
        <w:rPr>
          <w:rFonts w:asciiTheme="minorHAnsi" w:hAnsiTheme="minorHAnsi" w:cstheme="minorHAnsi"/>
          <w:i w:val="0"/>
          <w:iCs w:val="0"/>
          <w:sz w:val="22"/>
          <w:szCs w:val="20"/>
        </w:rPr>
        <w:t>,</w:t>
      </w:r>
      <w:r w:rsidR="003E576E">
        <w:rPr>
          <w:rFonts w:asciiTheme="minorHAnsi" w:hAnsiTheme="minorHAnsi" w:cstheme="minorHAnsi"/>
          <w:i w:val="0"/>
          <w:iCs w:val="0"/>
          <w:sz w:val="22"/>
          <w:szCs w:val="20"/>
        </w:rPr>
        <w:t xml:space="preserve">” was adopted in 1961 </w:t>
      </w:r>
      <w:r w:rsidR="00530F95">
        <w:rPr>
          <w:rFonts w:asciiTheme="minorHAnsi" w:hAnsiTheme="minorHAnsi" w:cstheme="minorHAnsi"/>
          <w:i w:val="0"/>
          <w:iCs w:val="0"/>
          <w:sz w:val="22"/>
          <w:szCs w:val="20"/>
        </w:rPr>
        <w:t>and amended with a compliance date 18 months after the effective date (</w:t>
      </w:r>
      <w:r w:rsidR="00C53082">
        <w:rPr>
          <w:rFonts w:asciiTheme="minorHAnsi" w:hAnsiTheme="minorHAnsi" w:cstheme="minorHAnsi"/>
          <w:i w:val="0"/>
          <w:iCs w:val="0"/>
          <w:sz w:val="22"/>
          <w:szCs w:val="20"/>
        </w:rPr>
        <w:t>May 4, 202</w:t>
      </w:r>
      <w:r w:rsidR="00FE4C4A">
        <w:rPr>
          <w:rFonts w:asciiTheme="minorHAnsi" w:hAnsiTheme="minorHAnsi" w:cstheme="minorHAnsi"/>
          <w:i w:val="0"/>
          <w:iCs w:val="0"/>
          <w:sz w:val="22"/>
          <w:szCs w:val="20"/>
        </w:rPr>
        <w:t>1</w:t>
      </w:r>
      <w:r w:rsidR="00530F95">
        <w:rPr>
          <w:rFonts w:asciiTheme="minorHAnsi" w:hAnsiTheme="minorHAnsi" w:cstheme="minorHAnsi"/>
          <w:i w:val="0"/>
          <w:iCs w:val="0"/>
          <w:sz w:val="22"/>
          <w:szCs w:val="20"/>
        </w:rPr>
        <w:t>).</w:t>
      </w:r>
      <w:r w:rsidR="00EA3A4D">
        <w:rPr>
          <w:rFonts w:asciiTheme="minorHAnsi" w:hAnsiTheme="minorHAnsi" w:cstheme="minorHAnsi"/>
          <w:i w:val="0"/>
          <w:iCs w:val="0"/>
          <w:sz w:val="22"/>
          <w:szCs w:val="20"/>
        </w:rPr>
        <w:t xml:space="preserve">  The amended </w:t>
      </w:r>
      <w:r w:rsidR="003350AF">
        <w:rPr>
          <w:rFonts w:asciiTheme="minorHAnsi" w:hAnsiTheme="minorHAnsi" w:cstheme="minorHAnsi"/>
          <w:i w:val="0"/>
          <w:iCs w:val="0"/>
          <w:sz w:val="22"/>
          <w:szCs w:val="20"/>
        </w:rPr>
        <w:t xml:space="preserve">“marketing” </w:t>
      </w:r>
      <w:r w:rsidR="00EA3A4D">
        <w:rPr>
          <w:rFonts w:asciiTheme="minorHAnsi" w:hAnsiTheme="minorHAnsi" w:cstheme="minorHAnsi"/>
          <w:i w:val="0"/>
          <w:iCs w:val="0"/>
          <w:sz w:val="22"/>
          <w:szCs w:val="20"/>
        </w:rPr>
        <w:t xml:space="preserve">rule will consolidate SEC Rule 206(4)-3, the solicitor’s rule, </w:t>
      </w:r>
      <w:r w:rsidR="0001738A">
        <w:rPr>
          <w:rFonts w:asciiTheme="minorHAnsi" w:hAnsiTheme="minorHAnsi" w:cstheme="minorHAnsi"/>
          <w:i w:val="0"/>
          <w:iCs w:val="0"/>
          <w:sz w:val="22"/>
          <w:szCs w:val="20"/>
        </w:rPr>
        <w:t>to regulate investment adviser</w:t>
      </w:r>
      <w:r w:rsidR="00B70E4B">
        <w:rPr>
          <w:rFonts w:asciiTheme="minorHAnsi" w:hAnsiTheme="minorHAnsi" w:cstheme="minorHAnsi"/>
          <w:i w:val="0"/>
          <w:iCs w:val="0"/>
          <w:sz w:val="22"/>
          <w:szCs w:val="20"/>
        </w:rPr>
        <w:t>’s marketing communications.</w:t>
      </w:r>
    </w:p>
    <w:p w14:paraId="20F8043F" w14:textId="65C79FA1" w:rsidR="00BE6958" w:rsidRDefault="00BE6958" w:rsidP="00BE6958"/>
    <w:p w14:paraId="3643CCEA" w14:textId="070ADCF4" w:rsidR="00BE6958" w:rsidRDefault="00A545FD" w:rsidP="00BE6958">
      <w:r>
        <w:t xml:space="preserve">The amended rule is agnostic </w:t>
      </w:r>
      <w:proofErr w:type="gramStart"/>
      <w:r>
        <w:t>with regard to</w:t>
      </w:r>
      <w:proofErr w:type="gramEnd"/>
      <w:r>
        <w:t xml:space="preserve"> the medium whereas the old rule was specific to “written” communications.  Thus, encompassed in the new rule includes business cards, websites, social media</w:t>
      </w:r>
      <w:proofErr w:type="gramStart"/>
      <w:r w:rsidR="00EA5EBD">
        <w:t xml:space="preserve">, </w:t>
      </w:r>
      <w:r w:rsidR="00FB20E7">
        <w:t>,</w:t>
      </w:r>
      <w:proofErr w:type="gramEnd"/>
      <w:r w:rsidR="00FB20E7">
        <w:t xml:space="preserve"> </w:t>
      </w:r>
      <w:r w:rsidR="002A35C4">
        <w:t xml:space="preserve">mass emails, </w:t>
      </w:r>
      <w:r w:rsidR="007B0CF6">
        <w:t xml:space="preserve">mass text messages, </w:t>
      </w:r>
      <w:r w:rsidR="0076720C">
        <w:t xml:space="preserve">recorded </w:t>
      </w:r>
      <w:r w:rsidR="00FB20E7">
        <w:t xml:space="preserve">webcasts, </w:t>
      </w:r>
      <w:r w:rsidR="00EA5EBD">
        <w:t xml:space="preserve">podcasts and </w:t>
      </w:r>
      <w:r w:rsidR="00912507">
        <w:t>virtually any form of recorded communication that meets the definition of an advertisement</w:t>
      </w:r>
      <w:r w:rsidR="007B0CF6">
        <w:t xml:space="preserve"> (see below)</w:t>
      </w:r>
      <w:r w:rsidR="00FB20E7">
        <w:t>.</w:t>
      </w:r>
      <w:r w:rsidR="00502720">
        <w:t xml:space="preserve">  The new definition of “advertisement” was intentionally broad to include not only existing forms of communication but new and emerging forms as well.</w:t>
      </w:r>
    </w:p>
    <w:p w14:paraId="4441462F" w14:textId="172E5B02" w:rsidR="007404BD" w:rsidRDefault="007404BD" w:rsidP="00BE6958"/>
    <w:p w14:paraId="68661EB6" w14:textId="5E7A79E1" w:rsidR="007404BD" w:rsidRDefault="007404BD" w:rsidP="00BE6958">
      <w:r>
        <w:t xml:space="preserve">Notably, the </w:t>
      </w:r>
      <w:r w:rsidR="00CF62BD">
        <w:t>marketing</w:t>
      </w:r>
      <w:r>
        <w:t xml:space="preserve"> rule does not amend or override the prohibition on general s</w:t>
      </w:r>
      <w:r w:rsidR="00977794">
        <w:t>olicitation of</w:t>
      </w:r>
      <w:r>
        <w:t xml:space="preserve"> private funds</w:t>
      </w:r>
      <w:r w:rsidR="00977794">
        <w:t xml:space="preserve"> under Rule 506 of Regulation D</w:t>
      </w:r>
      <w:r w:rsidR="0056773C">
        <w:t>, however, it does cover private fund advertising under Rule 506(c) and paid endorsements (formerly referred to as solicitations.)</w:t>
      </w:r>
    </w:p>
    <w:p w14:paraId="1BA28262" w14:textId="5FDA51CA" w:rsidR="0082598A" w:rsidRDefault="0082598A" w:rsidP="00BE6958"/>
    <w:p w14:paraId="5580A1E0" w14:textId="6FA2DDE6" w:rsidR="00AE19F7" w:rsidRDefault="00AE19F7" w:rsidP="00AE19F7">
      <w:pPr>
        <w:pStyle w:val="Heading3"/>
      </w:pPr>
      <w:r>
        <w:t>Principles-Based</w:t>
      </w:r>
    </w:p>
    <w:p w14:paraId="1DE4D9E0" w14:textId="77777777" w:rsidR="00AE19F7" w:rsidRDefault="00AE19F7" w:rsidP="00BE6958"/>
    <w:p w14:paraId="4DBBEBDE" w14:textId="56A0D22D" w:rsidR="003B4888" w:rsidRDefault="0082598A" w:rsidP="006459CE">
      <w:pPr>
        <w:rPr>
          <w:strike/>
        </w:rPr>
      </w:pPr>
      <w:r>
        <w:t>The Rule is principles-</w:t>
      </w:r>
      <w:proofErr w:type="gramStart"/>
      <w:r>
        <w:t>based</w:t>
      </w:r>
      <w:proofErr w:type="gramEnd"/>
      <w:r w:rsidR="00B4009D">
        <w:t xml:space="preserve"> and </w:t>
      </w:r>
      <w:r w:rsidR="001648A8">
        <w:t xml:space="preserve">judgements are </w:t>
      </w:r>
      <w:r w:rsidR="001D4F61">
        <w:t xml:space="preserve">shaped by regulatory guidance and enforcement precedence.  </w:t>
      </w:r>
      <w:r w:rsidR="00EA7400">
        <w:t xml:space="preserve">Marketing fluff and hyperbole </w:t>
      </w:r>
      <w:r w:rsidR="00350357">
        <w:t xml:space="preserve">are not acceptable.  Regulators take a strict interpretation of </w:t>
      </w:r>
      <w:r w:rsidR="0085795E">
        <w:t>factual statements</w:t>
      </w:r>
      <w:r w:rsidR="002A728B">
        <w:t>.  I</w:t>
      </w:r>
      <w:r w:rsidR="0085795E">
        <w:t>f there is one exception</w:t>
      </w:r>
      <w:r w:rsidR="002A728B">
        <w:t>,</w:t>
      </w:r>
      <w:r w:rsidR="00542474">
        <w:t xml:space="preserve"> the statement is false.  Due to this strict interpretation, most marketing </w:t>
      </w:r>
      <w:r w:rsidR="00270FF4">
        <w:t xml:space="preserve">utilizes hedging language.  </w:t>
      </w:r>
      <w:r w:rsidR="00DF5A31">
        <w:t xml:space="preserve">For example, instead of stating “We help our clients achieve their financial objectives,” </w:t>
      </w:r>
      <w:r w:rsidR="00D556A1">
        <w:t>a more appropriate hedged statement would be “Our goal is to help clients achieve their financial objectives.”</w:t>
      </w:r>
      <w:r w:rsidR="00D556A1">
        <w:br/>
      </w:r>
    </w:p>
    <w:bookmarkEnd w:id="3"/>
    <w:p w14:paraId="01B88B5A" w14:textId="620C05B3" w:rsidR="009F55DB" w:rsidRPr="00453B2A" w:rsidRDefault="009F55DB" w:rsidP="00763550">
      <w:pPr>
        <w:pStyle w:val="Heading2"/>
        <w:numPr>
          <w:ilvl w:val="0"/>
          <w:numId w:val="0"/>
        </w:numPr>
        <w:ind w:left="360" w:hanging="360"/>
        <w:rPr>
          <w:u w:val="single"/>
        </w:rPr>
      </w:pPr>
      <w:r w:rsidRPr="00453B2A">
        <w:rPr>
          <w:u w:val="single"/>
        </w:rPr>
        <w:t>Definitions</w:t>
      </w:r>
    </w:p>
    <w:p w14:paraId="4E071B8B" w14:textId="77777777" w:rsidR="009F55DB" w:rsidRPr="006A254D" w:rsidRDefault="009F55DB" w:rsidP="001946F7">
      <w:pPr>
        <w:autoSpaceDE w:val="0"/>
        <w:autoSpaceDN w:val="0"/>
        <w:adjustRightInd w:val="0"/>
      </w:pPr>
    </w:p>
    <w:p w14:paraId="53B30045" w14:textId="21468D5F" w:rsidR="005D3593" w:rsidRDefault="00F50332" w:rsidP="00E405CA">
      <w:pPr>
        <w:pStyle w:val="ListParagraph"/>
        <w:numPr>
          <w:ilvl w:val="0"/>
          <w:numId w:val="31"/>
        </w:numPr>
        <w:shd w:val="clear" w:color="auto" w:fill="FFFFFF"/>
        <w:textAlignment w:val="baseline"/>
      </w:pPr>
      <w:r w:rsidRPr="00E405CA">
        <w:rPr>
          <w:i/>
          <w:iCs/>
        </w:rPr>
        <w:t>“</w:t>
      </w:r>
      <w:r w:rsidR="005D3593" w:rsidRPr="00E405CA">
        <w:rPr>
          <w:i/>
          <w:iCs/>
        </w:rPr>
        <w:t>Advertisement</w:t>
      </w:r>
      <w:r w:rsidRPr="00E405CA">
        <w:rPr>
          <w:i/>
          <w:iCs/>
        </w:rPr>
        <w:t>”</w:t>
      </w:r>
    </w:p>
    <w:p w14:paraId="6F9AD0BB" w14:textId="77777777" w:rsidR="00E405CA" w:rsidRDefault="00E405CA" w:rsidP="00E405CA">
      <w:pPr>
        <w:pStyle w:val="ListParagraph"/>
        <w:shd w:val="clear" w:color="auto" w:fill="FFFFFF"/>
        <w:textAlignment w:val="baseline"/>
      </w:pPr>
    </w:p>
    <w:p w14:paraId="151E2837" w14:textId="465D2077" w:rsidR="005D3593" w:rsidRDefault="005D3593" w:rsidP="0027193F">
      <w:pPr>
        <w:pStyle w:val="ListParagraph"/>
        <w:numPr>
          <w:ilvl w:val="0"/>
          <w:numId w:val="35"/>
        </w:numPr>
        <w:shd w:val="clear" w:color="auto" w:fill="FFFFFF"/>
        <w:textAlignment w:val="baseline"/>
      </w:pPr>
      <w:r>
        <w:t xml:space="preserve">Any direct or indirect communication an investment adviser makes to more than one person, or to one or more persons </w:t>
      </w:r>
      <w:r w:rsidR="00A912AD">
        <w:t>(</w:t>
      </w:r>
      <w:r w:rsidR="00926FD7">
        <w:t>M</w:t>
      </w:r>
      <w:r w:rsidR="00A912AD">
        <w:t>ultiple natural persons representing a single entity or account</w:t>
      </w:r>
      <w:r w:rsidR="0004236F">
        <w:t xml:space="preserve"> are treated as one person</w:t>
      </w:r>
      <w:r w:rsidR="00D17967">
        <w:t xml:space="preserve">.  </w:t>
      </w:r>
      <w:r w:rsidR="00034BC8">
        <w:t>Conversely</w:t>
      </w:r>
      <w:r w:rsidR="00D17967">
        <w:t>, bulk emails or algorithm based messages</w:t>
      </w:r>
      <w:r w:rsidR="00430C72">
        <w:t>, and customized templates are not one-on-one communications.</w:t>
      </w:r>
      <w:r w:rsidR="00A912AD">
        <w:t xml:space="preserve">) </w:t>
      </w:r>
      <w:r>
        <w:t>if the communication includes hypothetical performance, that offers the investment adviser’s investment advisory services with regard to securities to prospective clients or investors in a private fund advised by the investment adviser or offers new investment advisory services with regard to securities to current clients or investors in a private fund advised by the investment adviser, but does not include:</w:t>
      </w:r>
    </w:p>
    <w:p w14:paraId="3DEE17B6" w14:textId="77777777" w:rsidR="00FB20E7" w:rsidRDefault="00FB20E7" w:rsidP="00FB20E7">
      <w:pPr>
        <w:pStyle w:val="ListParagraph"/>
        <w:shd w:val="clear" w:color="auto" w:fill="FFFFFF"/>
        <w:ind w:left="1440"/>
        <w:textAlignment w:val="baseline"/>
      </w:pPr>
    </w:p>
    <w:p w14:paraId="40F994F5" w14:textId="389FEE9D" w:rsidR="005D3593" w:rsidRDefault="005C1D5C" w:rsidP="005C1D5C">
      <w:pPr>
        <w:pStyle w:val="ListParagraph"/>
        <w:numPr>
          <w:ilvl w:val="0"/>
          <w:numId w:val="37"/>
        </w:numPr>
        <w:shd w:val="clear" w:color="auto" w:fill="FFFFFF"/>
        <w:textAlignment w:val="baseline"/>
      </w:pPr>
      <w:r>
        <w:t xml:space="preserve">  </w:t>
      </w:r>
      <w:r>
        <w:tab/>
      </w:r>
      <w:r w:rsidR="005D3593">
        <w:t xml:space="preserve">Extemporaneous, live, oral </w:t>
      </w:r>
      <w:proofErr w:type="gramStart"/>
      <w:r w:rsidR="005D3593">
        <w:t>communications;</w:t>
      </w:r>
      <w:proofErr w:type="gramEnd"/>
      <w:r w:rsidR="005D3593">
        <w:t xml:space="preserve"> </w:t>
      </w:r>
    </w:p>
    <w:p w14:paraId="695E791A" w14:textId="77777777" w:rsidR="0027193F" w:rsidRDefault="0027193F" w:rsidP="00722B29">
      <w:pPr>
        <w:shd w:val="clear" w:color="auto" w:fill="FFFFFF"/>
        <w:ind w:left="1440"/>
        <w:textAlignment w:val="baseline"/>
      </w:pPr>
    </w:p>
    <w:p w14:paraId="41D43FB7" w14:textId="4A19E1DF" w:rsidR="005D3593" w:rsidRDefault="005D3593" w:rsidP="005C1D5C">
      <w:pPr>
        <w:shd w:val="clear" w:color="auto" w:fill="FFFFFF"/>
        <w:ind w:left="2160" w:hanging="720"/>
        <w:textAlignment w:val="baseline"/>
      </w:pPr>
      <w:r>
        <w:lastRenderedPageBreak/>
        <w:t>(B)</w:t>
      </w:r>
      <w:r w:rsidR="005C1D5C">
        <w:tab/>
      </w:r>
      <w:r>
        <w:t xml:space="preserve">Information contained in a statutory or regulatory notice, filing, or other required communication, provided that such information is reasonably designed to satisfy the requirements of such notice, filing, or other required communication; or </w:t>
      </w:r>
    </w:p>
    <w:p w14:paraId="329271F2" w14:textId="77777777" w:rsidR="0027193F" w:rsidRDefault="0027193F" w:rsidP="00722B29">
      <w:pPr>
        <w:shd w:val="clear" w:color="auto" w:fill="FFFFFF"/>
        <w:ind w:left="1440"/>
        <w:textAlignment w:val="baseline"/>
      </w:pPr>
    </w:p>
    <w:p w14:paraId="069D189D" w14:textId="75917C34" w:rsidR="005D3593" w:rsidRDefault="005D3593" w:rsidP="00722B29">
      <w:pPr>
        <w:shd w:val="clear" w:color="auto" w:fill="FFFFFF"/>
        <w:ind w:left="1440"/>
        <w:textAlignment w:val="baseline"/>
      </w:pPr>
      <w:r>
        <w:t xml:space="preserve">(C) </w:t>
      </w:r>
      <w:r w:rsidR="005C1D5C">
        <w:t xml:space="preserve"> </w:t>
      </w:r>
      <w:r w:rsidR="005C1D5C">
        <w:tab/>
      </w:r>
      <w:r>
        <w:t>A communication that includes hypothetical performance that is provided:</w:t>
      </w:r>
    </w:p>
    <w:p w14:paraId="655B5AF1" w14:textId="77777777" w:rsidR="0027193F" w:rsidRDefault="0027193F" w:rsidP="00722B29">
      <w:pPr>
        <w:shd w:val="clear" w:color="auto" w:fill="FFFFFF"/>
        <w:ind w:left="1440"/>
        <w:textAlignment w:val="baseline"/>
      </w:pPr>
    </w:p>
    <w:p w14:paraId="53C5FD4D" w14:textId="76F886A1" w:rsidR="005D3593" w:rsidRDefault="005D3593" w:rsidP="0027193F">
      <w:pPr>
        <w:pStyle w:val="ListParagraph"/>
        <w:numPr>
          <w:ilvl w:val="0"/>
          <w:numId w:val="36"/>
        </w:numPr>
        <w:shd w:val="clear" w:color="auto" w:fill="FFFFFF"/>
        <w:textAlignment w:val="baseline"/>
      </w:pPr>
      <w:r>
        <w:t>In response to an unsolicited request for such information from a prospective or current client or investor in a private fund advised by the investment adviser; or</w:t>
      </w:r>
    </w:p>
    <w:p w14:paraId="3751D2F6" w14:textId="77777777" w:rsidR="005C1D5C" w:rsidRDefault="005C1D5C" w:rsidP="005C1D5C">
      <w:pPr>
        <w:pStyle w:val="ListParagraph"/>
        <w:shd w:val="clear" w:color="auto" w:fill="FFFFFF"/>
        <w:ind w:left="2520"/>
        <w:textAlignment w:val="baseline"/>
      </w:pPr>
    </w:p>
    <w:p w14:paraId="6D934AA3" w14:textId="3260E196" w:rsidR="005D3593" w:rsidRDefault="005D3593" w:rsidP="005C1D5C">
      <w:pPr>
        <w:pStyle w:val="ListParagraph"/>
        <w:numPr>
          <w:ilvl w:val="0"/>
          <w:numId w:val="36"/>
        </w:numPr>
        <w:shd w:val="clear" w:color="auto" w:fill="FFFFFF"/>
        <w:textAlignment w:val="baseline"/>
      </w:pPr>
      <w:r>
        <w:t>To a prospective or current investor in a private fund advised by the investment adviser in a one-on-one communication</w:t>
      </w:r>
    </w:p>
    <w:p w14:paraId="298630B0" w14:textId="77777777" w:rsidR="0074796E" w:rsidRDefault="0074796E" w:rsidP="0074796E">
      <w:pPr>
        <w:pStyle w:val="ListParagraph"/>
      </w:pPr>
    </w:p>
    <w:p w14:paraId="49BB17A0" w14:textId="47A4A6A6" w:rsidR="0074796E" w:rsidRDefault="0074796E" w:rsidP="0074796E">
      <w:pPr>
        <w:pStyle w:val="ListParagraph"/>
        <w:numPr>
          <w:ilvl w:val="0"/>
          <w:numId w:val="35"/>
        </w:numPr>
        <w:shd w:val="clear" w:color="auto" w:fill="FFFFFF"/>
        <w:textAlignment w:val="baseline"/>
      </w:pPr>
      <w:r>
        <w:t xml:space="preserve">The Adopting Release </w:t>
      </w:r>
      <w:r w:rsidR="000F0DE8">
        <w:t>clarified that a communication to an existing client or private fund investor</w:t>
      </w:r>
      <w:r w:rsidR="004A5522">
        <w:t xml:space="preserve"> is an advertisement only when it offers new or additional investment advisory services.</w:t>
      </w:r>
    </w:p>
    <w:p w14:paraId="3821689E" w14:textId="77777777" w:rsidR="005C1D5C" w:rsidRDefault="005C1D5C" w:rsidP="005C1D5C">
      <w:pPr>
        <w:pStyle w:val="ListParagraph"/>
      </w:pPr>
    </w:p>
    <w:p w14:paraId="46A33CFC" w14:textId="313DDD21" w:rsidR="005D3593" w:rsidRDefault="005D3593" w:rsidP="005C1D5C">
      <w:pPr>
        <w:pStyle w:val="ListParagraph"/>
        <w:numPr>
          <w:ilvl w:val="0"/>
          <w:numId w:val="35"/>
        </w:numPr>
        <w:shd w:val="clear" w:color="auto" w:fill="FFFFFF"/>
        <w:textAlignment w:val="baseline"/>
      </w:pPr>
      <w:r>
        <w:t xml:space="preserve">Any endorsement or testimonial for which an investment adviser provides compensation, directly or indirectly, but does not include any information contained in a statutory or regulatory notice, filing, or other required communication, provided that such information is reasonably designed to satisfy the requirements of such notice, filing, or other required communication. </w:t>
      </w:r>
    </w:p>
    <w:p w14:paraId="5783FDB4" w14:textId="77777777" w:rsidR="00515503" w:rsidRPr="00A77DC4" w:rsidRDefault="00515503" w:rsidP="00515503">
      <w:pPr>
        <w:shd w:val="clear" w:color="auto" w:fill="FFFFFF"/>
        <w:textAlignment w:val="baseline"/>
      </w:pPr>
    </w:p>
    <w:p w14:paraId="7DA8BEA0" w14:textId="7E1AD123" w:rsidR="00515503" w:rsidRPr="00A77DC4" w:rsidRDefault="00515503" w:rsidP="00144CFD">
      <w:pPr>
        <w:pStyle w:val="ListParagraph"/>
        <w:numPr>
          <w:ilvl w:val="0"/>
          <w:numId w:val="31"/>
        </w:numPr>
        <w:shd w:val="clear" w:color="auto" w:fill="FFFFFF"/>
        <w:ind w:left="720" w:hanging="720"/>
        <w:textAlignment w:val="baseline"/>
      </w:pPr>
      <w:r w:rsidRPr="0092778D">
        <w:rPr>
          <w:i/>
          <w:iCs/>
        </w:rPr>
        <w:t>“</w:t>
      </w:r>
      <w:r w:rsidR="00B3167B" w:rsidRPr="0092778D">
        <w:rPr>
          <w:i/>
          <w:iCs/>
        </w:rPr>
        <w:t>Clear and Prominent Disclosure</w:t>
      </w:r>
      <w:r w:rsidRPr="0092778D">
        <w:rPr>
          <w:i/>
          <w:iCs/>
        </w:rPr>
        <w:t>”</w:t>
      </w:r>
      <w:r w:rsidRPr="00A77DC4">
        <w:t xml:space="preserve"> - </w:t>
      </w:r>
      <w:proofErr w:type="gramStart"/>
      <w:r w:rsidR="00A77DC4" w:rsidRPr="00A77DC4">
        <w:t>In order to</w:t>
      </w:r>
      <w:proofErr w:type="gramEnd"/>
      <w:r w:rsidR="00A77DC4" w:rsidRPr="00A77DC4">
        <w:t xml:space="preserve"> be clear and prominent, the disclosures must be at least as prominent as the testimonial or endorsement. In other words, we believe that the “clear and prominent” standard requires that the disclosures be included within the testimonial or endorsement, or in the case of an oral testimonial or endorsement, provided at the same time.</w:t>
      </w:r>
      <w:r w:rsidR="0059425A">
        <w:t xml:space="preserve">  Hyperlinks generally do not meet the clear and prominent standard</w:t>
      </w:r>
      <w:r w:rsidR="00C65F68">
        <w:t>.  Finally, depending on the medium and nature of the material, layered disclosures</w:t>
      </w:r>
      <w:r w:rsidR="004059DB">
        <w:t xml:space="preserve"> </w:t>
      </w:r>
      <w:r w:rsidR="001749FE">
        <w:t xml:space="preserve">(as opposed to all at the end) </w:t>
      </w:r>
      <w:r w:rsidR="004059DB">
        <w:t>may be appropriate.  For example, a</w:t>
      </w:r>
      <w:r w:rsidR="004059DB" w:rsidRPr="004059DB">
        <w:t>n advertisement intended to be viewed on a mobile device, may meet the standard in a different way than one intended to be seen as a print advertisement (e.g., a person viewing a mobile device could be automatically redirected to the required disclosure before viewing the substance of an advertisement).</w:t>
      </w:r>
      <w:r w:rsidR="00427BE4">
        <w:t xml:space="preserve">  Other means of providing layered disclosure would include QR codes or mouse-over </w:t>
      </w:r>
      <w:r w:rsidR="00CA1143">
        <w:t>windows</w:t>
      </w:r>
      <w:r w:rsidR="00427BE4">
        <w:t>.</w:t>
      </w:r>
    </w:p>
    <w:p w14:paraId="33C87D03" w14:textId="77777777" w:rsidR="00515503" w:rsidRPr="0092778D" w:rsidRDefault="00515503" w:rsidP="00722B29">
      <w:pPr>
        <w:shd w:val="clear" w:color="auto" w:fill="FFFFFF"/>
        <w:textAlignment w:val="baseline"/>
      </w:pPr>
    </w:p>
    <w:p w14:paraId="7F676D6E" w14:textId="048CA1B7" w:rsidR="005D3593" w:rsidRPr="0092778D" w:rsidRDefault="00615A69"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De minimis compensation</w:t>
      </w:r>
      <w:r w:rsidRPr="0092778D">
        <w:rPr>
          <w:i/>
          <w:iCs/>
        </w:rPr>
        <w:t>”</w:t>
      </w:r>
      <w:r w:rsidR="005D3593" w:rsidRPr="0092778D">
        <w:t xml:space="preserve"> </w:t>
      </w:r>
      <w:r w:rsidRPr="0092778D">
        <w:t>-</w:t>
      </w:r>
      <w:r w:rsidR="005D3593" w:rsidRPr="0092778D">
        <w:t xml:space="preserve"> compensation paid to a person for providing a testimonial or endorsement of a total of $1,000 or less (or the equivalent value in non-cash compensation) during the preceding 12 months. </w:t>
      </w:r>
    </w:p>
    <w:p w14:paraId="3E6A3697" w14:textId="77777777" w:rsidR="0092778D" w:rsidRPr="0092778D" w:rsidRDefault="0092778D" w:rsidP="0092778D">
      <w:pPr>
        <w:pStyle w:val="ListParagraph"/>
      </w:pPr>
    </w:p>
    <w:p w14:paraId="3DDE05A7" w14:textId="0E5983E1" w:rsidR="005D3593" w:rsidRPr="0092778D" w:rsidRDefault="00615A69" w:rsidP="0092778D">
      <w:pPr>
        <w:pStyle w:val="ListParagraph"/>
        <w:numPr>
          <w:ilvl w:val="0"/>
          <w:numId w:val="31"/>
        </w:numPr>
        <w:shd w:val="clear" w:color="auto" w:fill="FFFFFF"/>
        <w:ind w:left="720" w:hanging="720"/>
        <w:textAlignment w:val="baseline"/>
      </w:pPr>
      <w:r w:rsidRPr="0092778D">
        <w:rPr>
          <w:i/>
          <w:iCs/>
        </w:rPr>
        <w:t>“D</w:t>
      </w:r>
      <w:r w:rsidR="005D3593" w:rsidRPr="0092778D">
        <w:rPr>
          <w:i/>
          <w:iCs/>
        </w:rPr>
        <w:t xml:space="preserve">isqualifying Commission </w:t>
      </w:r>
      <w:r w:rsidR="00CF6D8A" w:rsidRPr="0092778D">
        <w:rPr>
          <w:i/>
          <w:iCs/>
        </w:rPr>
        <w:t>a</w:t>
      </w:r>
      <w:r w:rsidR="005D3593" w:rsidRPr="0092778D">
        <w:rPr>
          <w:i/>
          <w:iCs/>
        </w:rPr>
        <w:t>ction</w:t>
      </w:r>
      <w:r w:rsidRPr="0092778D">
        <w:rPr>
          <w:i/>
          <w:iCs/>
        </w:rPr>
        <w:t>”</w:t>
      </w:r>
      <w:r w:rsidR="005D3593" w:rsidRPr="0092778D">
        <w:t xml:space="preserve"> </w:t>
      </w:r>
      <w:r w:rsidRPr="0092778D">
        <w:t>-</w:t>
      </w:r>
      <w:r w:rsidR="005D3593" w:rsidRPr="0092778D">
        <w:t xml:space="preserve"> a Commission opinion or order barring, suspending, or prohibiting the person from acting in any capacity under the Federal securities laws. </w:t>
      </w:r>
    </w:p>
    <w:p w14:paraId="121488E0" w14:textId="77777777" w:rsidR="003D60B1" w:rsidRPr="0092778D" w:rsidRDefault="003D60B1" w:rsidP="0092778D">
      <w:pPr>
        <w:pStyle w:val="ListParagraph"/>
        <w:shd w:val="clear" w:color="auto" w:fill="FFFFFF"/>
        <w:textAlignment w:val="baseline"/>
      </w:pPr>
    </w:p>
    <w:p w14:paraId="098BB8B4" w14:textId="5C58B982" w:rsidR="005D3593" w:rsidRPr="0092778D" w:rsidRDefault="00615A69" w:rsidP="0092778D">
      <w:pPr>
        <w:pStyle w:val="ListParagraph"/>
        <w:numPr>
          <w:ilvl w:val="0"/>
          <w:numId w:val="31"/>
        </w:numPr>
        <w:shd w:val="clear" w:color="auto" w:fill="FFFFFF"/>
        <w:ind w:left="720" w:hanging="720"/>
        <w:textAlignment w:val="baseline"/>
      </w:pPr>
      <w:r w:rsidRPr="0092778D">
        <w:rPr>
          <w:i/>
          <w:iCs/>
        </w:rPr>
        <w:t>“D</w:t>
      </w:r>
      <w:r w:rsidR="005D3593" w:rsidRPr="0092778D">
        <w:rPr>
          <w:i/>
          <w:iCs/>
        </w:rPr>
        <w:t xml:space="preserve">isqualifying </w:t>
      </w:r>
      <w:r w:rsidR="00CF6D8A" w:rsidRPr="0092778D">
        <w:rPr>
          <w:i/>
          <w:iCs/>
        </w:rPr>
        <w:t>e</w:t>
      </w:r>
      <w:r w:rsidR="005D3593" w:rsidRPr="0092778D">
        <w:rPr>
          <w:i/>
          <w:iCs/>
        </w:rPr>
        <w:t>vent</w:t>
      </w:r>
      <w:r w:rsidR="00CF6D8A" w:rsidRPr="0092778D">
        <w:rPr>
          <w:i/>
          <w:iCs/>
        </w:rPr>
        <w:t>”</w:t>
      </w:r>
      <w:r w:rsidR="005D3593" w:rsidRPr="0092778D">
        <w:t xml:space="preserve"> </w:t>
      </w:r>
      <w:r w:rsidR="00CF6D8A" w:rsidRPr="0092778D">
        <w:t>-</w:t>
      </w:r>
      <w:r w:rsidR="005D3593" w:rsidRPr="0092778D">
        <w:t xml:space="preserve"> any of the following events that occurred within 10 years prior to the person disseminating an endorsement or testimonial:</w:t>
      </w:r>
    </w:p>
    <w:p w14:paraId="6A862DD9" w14:textId="77777777" w:rsidR="002C695A" w:rsidRDefault="002C695A" w:rsidP="00722B29">
      <w:pPr>
        <w:shd w:val="clear" w:color="auto" w:fill="FFFFFF"/>
        <w:textAlignment w:val="baseline"/>
      </w:pPr>
    </w:p>
    <w:p w14:paraId="50398D7C" w14:textId="5AA4D938" w:rsidR="005D3593" w:rsidRDefault="005D3593" w:rsidP="00FA2121">
      <w:pPr>
        <w:pStyle w:val="ListParagraph"/>
        <w:numPr>
          <w:ilvl w:val="0"/>
          <w:numId w:val="38"/>
        </w:numPr>
        <w:shd w:val="clear" w:color="auto" w:fill="FFFFFF"/>
        <w:textAlignment w:val="baseline"/>
      </w:pPr>
      <w:r>
        <w:lastRenderedPageBreak/>
        <w:t xml:space="preserve">A conviction by a court of competent jurisdiction within the United States of any felony or misdemeanor involving conduct described in paragraph (2)(A) through (D) of section 203(e) of the </w:t>
      </w:r>
      <w:proofErr w:type="gramStart"/>
      <w:r>
        <w:t>Act;</w:t>
      </w:r>
      <w:proofErr w:type="gramEnd"/>
    </w:p>
    <w:p w14:paraId="7B006EBA" w14:textId="77777777" w:rsidR="00FA2121" w:rsidRDefault="00FA2121" w:rsidP="008141D2">
      <w:pPr>
        <w:pStyle w:val="ListParagraph"/>
        <w:shd w:val="clear" w:color="auto" w:fill="FFFFFF"/>
        <w:ind w:left="1440"/>
        <w:textAlignment w:val="baseline"/>
      </w:pPr>
    </w:p>
    <w:p w14:paraId="4AF59B73" w14:textId="56D6AFB0" w:rsidR="005D3593" w:rsidRDefault="005D3593" w:rsidP="008141D2">
      <w:pPr>
        <w:pStyle w:val="ListParagraph"/>
        <w:numPr>
          <w:ilvl w:val="0"/>
          <w:numId w:val="38"/>
        </w:numPr>
        <w:shd w:val="clear" w:color="auto" w:fill="FFFFFF"/>
        <w:textAlignment w:val="baseline"/>
      </w:pPr>
      <w:r>
        <w:t xml:space="preserve">A conviction by a court of competent jurisdiction within the United States of engaging in, any of the conduct specified in paragraphs (1), (5), or (6) of section 203(e) of the </w:t>
      </w:r>
      <w:proofErr w:type="gramStart"/>
      <w:r>
        <w:t>Act;</w:t>
      </w:r>
      <w:proofErr w:type="gramEnd"/>
    </w:p>
    <w:p w14:paraId="5B3B83CF" w14:textId="77777777" w:rsidR="008141D2" w:rsidRDefault="008141D2" w:rsidP="008141D2">
      <w:pPr>
        <w:pStyle w:val="ListParagraph"/>
      </w:pPr>
    </w:p>
    <w:p w14:paraId="4B59569B" w14:textId="32D76BA8" w:rsidR="005D3593" w:rsidRDefault="005D3593" w:rsidP="008141D2">
      <w:pPr>
        <w:pStyle w:val="ListParagraph"/>
        <w:numPr>
          <w:ilvl w:val="0"/>
          <w:numId w:val="38"/>
        </w:numPr>
        <w:shd w:val="clear" w:color="auto" w:fill="FFFFFF"/>
        <w:textAlignment w:val="baseline"/>
      </w:pPr>
      <w:r>
        <w:t xml:space="preserve">The entry of any final order by any entity described in paragraph (9) of section 203(e) of the Act, or by the U.S. Commodity Futures Trading Commission or a self-regulatory organization (as defined in the Form ADV Glossary of Terms)), of the type described in paragraph (9) of section 203(e) of the </w:t>
      </w:r>
      <w:proofErr w:type="gramStart"/>
      <w:r>
        <w:t>Act;</w:t>
      </w:r>
      <w:proofErr w:type="gramEnd"/>
    </w:p>
    <w:p w14:paraId="08A1A97D" w14:textId="77777777" w:rsidR="008141D2" w:rsidRDefault="008141D2" w:rsidP="008141D2">
      <w:pPr>
        <w:pStyle w:val="ListParagraph"/>
      </w:pPr>
    </w:p>
    <w:p w14:paraId="7660A5B6" w14:textId="74C2281B" w:rsidR="00F90A6F" w:rsidRDefault="005D3593" w:rsidP="00F90A6F">
      <w:pPr>
        <w:pStyle w:val="ListParagraph"/>
        <w:numPr>
          <w:ilvl w:val="0"/>
          <w:numId w:val="38"/>
        </w:numPr>
        <w:shd w:val="clear" w:color="auto" w:fill="FFFFFF"/>
        <w:textAlignment w:val="baseline"/>
      </w:pPr>
      <w:r>
        <w:t>The entry of an order, judgment or decree described in paragraph (4) of section 203(e) of the Act, and still in effect, by any court of competent jurisdiction within the United States; an</w:t>
      </w:r>
      <w:r w:rsidR="00F90A6F">
        <w:t>d</w:t>
      </w:r>
    </w:p>
    <w:p w14:paraId="3D5C4B41" w14:textId="24AC05A1" w:rsidR="005D3593" w:rsidRDefault="005D3593" w:rsidP="00F90A6F">
      <w:pPr>
        <w:pStyle w:val="ListParagraph"/>
        <w:shd w:val="clear" w:color="auto" w:fill="FFFFFF"/>
        <w:ind w:left="1440"/>
        <w:textAlignment w:val="baseline"/>
      </w:pPr>
      <w:r>
        <w:t xml:space="preserve"> </w:t>
      </w:r>
    </w:p>
    <w:p w14:paraId="18BFD961" w14:textId="07DBE2B3" w:rsidR="005D3593" w:rsidRDefault="005D3593" w:rsidP="00F90A6F">
      <w:pPr>
        <w:pStyle w:val="ListParagraph"/>
        <w:numPr>
          <w:ilvl w:val="0"/>
          <w:numId w:val="38"/>
        </w:numPr>
        <w:shd w:val="clear" w:color="auto" w:fill="FFFFFF"/>
        <w:textAlignment w:val="baseline"/>
      </w:pPr>
      <w:r>
        <w:t xml:space="preserve">A Commission order that a person cease and desist from committing or causing a violation or future violation of: </w:t>
      </w:r>
    </w:p>
    <w:p w14:paraId="5301D1D6" w14:textId="77777777" w:rsidR="00F90A6F" w:rsidRDefault="00F90A6F" w:rsidP="00F90A6F">
      <w:pPr>
        <w:pStyle w:val="ListParagraph"/>
        <w:shd w:val="clear" w:color="auto" w:fill="FFFFFF"/>
        <w:ind w:left="1440"/>
        <w:textAlignment w:val="baseline"/>
      </w:pPr>
    </w:p>
    <w:p w14:paraId="13030CC6" w14:textId="6A60EECB" w:rsidR="005D3593" w:rsidRDefault="005D3593" w:rsidP="00F90A6F">
      <w:pPr>
        <w:shd w:val="clear" w:color="auto" w:fill="FFFFFF"/>
        <w:ind w:left="2160" w:hanging="720"/>
        <w:textAlignment w:val="baseline"/>
      </w:pPr>
      <w:r>
        <w:t xml:space="preserve">(A) </w:t>
      </w:r>
      <w:r w:rsidR="00F90A6F">
        <w:tab/>
      </w:r>
      <w:r>
        <w:t xml:space="preserve">Any scienter-based anti-fraud provision of the Federal securities laws, including without limitation section 17(a)(1) of the Securities Act of 1933 (15 U.S.C. 77q(a)(1)), section 10(b) of the Securities Exchange Act of 1934 (15 U.S.C. 78j(b)) and 17 CFR 240.10b-5, section 15(c)(1) of the Securities Exchange Act of 1934 (15 U.S.C. 78o(c)(1)), and section 206(1) of the Investment Advisers Act of 1940 (15 U.S.C. 80b-6(1)), or any other rule or regulation thereunder; or </w:t>
      </w:r>
    </w:p>
    <w:p w14:paraId="1059FF1B" w14:textId="77777777" w:rsidR="00F90A6F" w:rsidRDefault="00F90A6F" w:rsidP="00722B29">
      <w:pPr>
        <w:shd w:val="clear" w:color="auto" w:fill="FFFFFF"/>
        <w:ind w:left="1440"/>
        <w:textAlignment w:val="baseline"/>
      </w:pPr>
    </w:p>
    <w:p w14:paraId="73991187" w14:textId="52425D3B" w:rsidR="00F90A6F" w:rsidRDefault="005D3593" w:rsidP="00AE43FA">
      <w:pPr>
        <w:pStyle w:val="ListParagraph"/>
        <w:numPr>
          <w:ilvl w:val="0"/>
          <w:numId w:val="37"/>
        </w:numPr>
        <w:shd w:val="clear" w:color="auto" w:fill="FFFFFF"/>
        <w:ind w:left="2160" w:hanging="720"/>
        <w:textAlignment w:val="baseline"/>
      </w:pPr>
      <w:r>
        <w:t>Section 5 of the Securities Act of 1933 (15 U.S.C. 77e</w:t>
      </w:r>
      <w:proofErr w:type="gramStart"/>
      <w:r>
        <w:t>);</w:t>
      </w:r>
      <w:proofErr w:type="gramEnd"/>
    </w:p>
    <w:p w14:paraId="770DB3AF" w14:textId="679C55EB" w:rsidR="005D3593" w:rsidRDefault="005D3593" w:rsidP="00F90A6F">
      <w:pPr>
        <w:pStyle w:val="ListParagraph"/>
        <w:shd w:val="clear" w:color="auto" w:fill="FFFFFF"/>
        <w:ind w:left="1800"/>
        <w:textAlignment w:val="baseline"/>
      </w:pPr>
      <w:r>
        <w:t xml:space="preserve"> </w:t>
      </w:r>
    </w:p>
    <w:p w14:paraId="1A358106" w14:textId="7D9320B7" w:rsidR="00F90A6F" w:rsidRDefault="005D3593" w:rsidP="00722B29">
      <w:pPr>
        <w:shd w:val="clear" w:color="auto" w:fill="FFFFFF"/>
        <w:ind w:left="720"/>
        <w:textAlignment w:val="baseline"/>
      </w:pPr>
      <w:r>
        <w:t xml:space="preserve">(vi) </w:t>
      </w:r>
      <w:r w:rsidR="00F90A6F">
        <w:tab/>
      </w:r>
      <w:r>
        <w:t>A disqualifying event does not include an event described in paragraphs (4)(</w:t>
      </w:r>
      <w:proofErr w:type="spellStart"/>
      <w:r>
        <w:t>i</w:t>
      </w:r>
      <w:proofErr w:type="spellEnd"/>
      <w:r>
        <w:t xml:space="preserve">) through </w:t>
      </w:r>
    </w:p>
    <w:p w14:paraId="1B1CC425" w14:textId="399D7C22" w:rsidR="00AD4717" w:rsidRDefault="005D3593" w:rsidP="005651C2">
      <w:pPr>
        <w:pStyle w:val="ListParagraph"/>
        <w:shd w:val="clear" w:color="auto" w:fill="FFFFFF"/>
        <w:ind w:left="1440"/>
        <w:textAlignment w:val="baseline"/>
      </w:pPr>
      <w:r>
        <w:t>of this section with respect to a person that is also subject to:</w:t>
      </w:r>
    </w:p>
    <w:p w14:paraId="63B343C6" w14:textId="0F2F0D45" w:rsidR="005D3593" w:rsidRDefault="005D3593" w:rsidP="00AD4717">
      <w:pPr>
        <w:pStyle w:val="ListParagraph"/>
        <w:shd w:val="clear" w:color="auto" w:fill="FFFFFF"/>
        <w:ind w:left="1440"/>
        <w:textAlignment w:val="baseline"/>
      </w:pPr>
      <w:r>
        <w:t xml:space="preserve"> </w:t>
      </w:r>
    </w:p>
    <w:p w14:paraId="6F3BDEDD" w14:textId="53700257" w:rsidR="005D3593" w:rsidRDefault="005D3593" w:rsidP="00AD4717">
      <w:pPr>
        <w:shd w:val="clear" w:color="auto" w:fill="FFFFFF"/>
        <w:ind w:left="2160" w:hanging="720"/>
        <w:textAlignment w:val="baseline"/>
      </w:pPr>
      <w:r>
        <w:t xml:space="preserve">(A) </w:t>
      </w:r>
      <w:r w:rsidR="00AD4717">
        <w:tab/>
      </w:r>
      <w:r>
        <w:t xml:space="preserve">An order pursuant to section 9(c) of the Investment Company Act of 1940 (15 U.S.C. 80a-3) with respect to such event; or </w:t>
      </w:r>
    </w:p>
    <w:p w14:paraId="7D2D20D9" w14:textId="77777777" w:rsidR="00AD4717" w:rsidRDefault="00AD4717" w:rsidP="00722B29">
      <w:pPr>
        <w:shd w:val="clear" w:color="auto" w:fill="FFFFFF"/>
        <w:ind w:left="1440"/>
        <w:textAlignment w:val="baseline"/>
      </w:pPr>
    </w:p>
    <w:p w14:paraId="66E1BF9D" w14:textId="6AFC59CE" w:rsidR="005D3593" w:rsidRDefault="005D3593" w:rsidP="00AD4717">
      <w:pPr>
        <w:shd w:val="clear" w:color="auto" w:fill="FFFFFF"/>
        <w:ind w:left="2160" w:hanging="720"/>
        <w:textAlignment w:val="baseline"/>
      </w:pPr>
      <w:r>
        <w:t xml:space="preserve">(B) </w:t>
      </w:r>
      <w:r w:rsidR="00AD4717">
        <w:tab/>
      </w:r>
      <w:r>
        <w:t xml:space="preserve">A Commission opinion or order with respect to such event that is not a disqualifying Commission </w:t>
      </w:r>
      <w:proofErr w:type="gramStart"/>
      <w:r>
        <w:t>action;</w:t>
      </w:r>
      <w:proofErr w:type="gramEnd"/>
      <w:r>
        <w:t xml:space="preserve"> provided that for each applicable type of order or opinion described in paragraphs </w:t>
      </w:r>
      <w:r w:rsidR="00AE43FA">
        <w:t>(</w:t>
      </w:r>
      <w:r>
        <w:t xml:space="preserve">4)(vi)(A) and (B) of this section: </w:t>
      </w:r>
    </w:p>
    <w:p w14:paraId="47400788" w14:textId="77777777" w:rsidR="00AD4717" w:rsidRDefault="00AD4717" w:rsidP="00722B29">
      <w:pPr>
        <w:shd w:val="clear" w:color="auto" w:fill="FFFFFF"/>
        <w:ind w:left="2160"/>
        <w:textAlignment w:val="baseline"/>
      </w:pPr>
    </w:p>
    <w:p w14:paraId="7D80E9A2" w14:textId="7E6DD9B9" w:rsidR="005D3593" w:rsidRDefault="005D3593" w:rsidP="00AD4717">
      <w:pPr>
        <w:shd w:val="clear" w:color="auto" w:fill="FFFFFF"/>
        <w:ind w:left="2880" w:hanging="720"/>
        <w:textAlignment w:val="baseline"/>
      </w:pPr>
      <w:r>
        <w:t xml:space="preserve">(1) </w:t>
      </w:r>
      <w:r w:rsidR="00AD4717">
        <w:tab/>
      </w:r>
      <w:r>
        <w:t xml:space="preserve">The person </w:t>
      </w:r>
      <w:proofErr w:type="gramStart"/>
      <w:r>
        <w:t>is in compliance with</w:t>
      </w:r>
      <w:proofErr w:type="gramEnd"/>
      <w:r>
        <w:t xml:space="preserve"> the terms of the order or opinion, including, but not limited to, the payment of disgorgement, prejudgment interest, civil or administrative penalties, and fines; and </w:t>
      </w:r>
    </w:p>
    <w:p w14:paraId="48E64310" w14:textId="77777777" w:rsidR="00AD4717" w:rsidRDefault="00AD4717" w:rsidP="00722B29">
      <w:pPr>
        <w:shd w:val="clear" w:color="auto" w:fill="FFFFFF"/>
        <w:ind w:left="2160"/>
        <w:textAlignment w:val="baseline"/>
      </w:pPr>
    </w:p>
    <w:p w14:paraId="558FF8DE" w14:textId="44A7874B" w:rsidR="005D3593" w:rsidRDefault="005D3593" w:rsidP="00AD4717">
      <w:pPr>
        <w:shd w:val="clear" w:color="auto" w:fill="FFFFFF"/>
        <w:ind w:left="2880" w:hanging="720"/>
        <w:textAlignment w:val="baseline"/>
      </w:pPr>
      <w:r>
        <w:t xml:space="preserve">(2) </w:t>
      </w:r>
      <w:r w:rsidR="00AD4717">
        <w:tab/>
      </w:r>
      <w:r>
        <w:t>For a period of 10 years following the date of each order or opinion, the advertisement containing the testimonial or endorsement must include a statement that the person providing the testimonial or endorsement is subject to a Commission order or opinion regarding one or more disciplinary action(s</w:t>
      </w:r>
      <w:proofErr w:type="gramStart"/>
      <w:r>
        <w:t>), and</w:t>
      </w:r>
      <w:proofErr w:type="gramEnd"/>
      <w:r>
        <w:t xml:space="preserve"> include the order or opinion or a link to the order or opinion on the Commission’s website. </w:t>
      </w:r>
    </w:p>
    <w:p w14:paraId="2A8CC507" w14:textId="77777777" w:rsidR="003D60B1" w:rsidRDefault="003D60B1" w:rsidP="00F50332">
      <w:pPr>
        <w:shd w:val="clear" w:color="auto" w:fill="FFFFFF"/>
        <w:textAlignment w:val="baseline"/>
      </w:pPr>
    </w:p>
    <w:p w14:paraId="0F4B30CC" w14:textId="21FB37B9" w:rsidR="005D3593" w:rsidRDefault="00CF6D8A"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Endorsement</w:t>
      </w:r>
      <w:r w:rsidRPr="0092778D">
        <w:rPr>
          <w:i/>
          <w:iCs/>
        </w:rPr>
        <w:t>”</w:t>
      </w:r>
      <w:r w:rsidR="005D3593">
        <w:t xml:space="preserve"> </w:t>
      </w:r>
      <w:r>
        <w:t>-</w:t>
      </w:r>
      <w:r w:rsidR="005D3593">
        <w:t xml:space="preserve"> any statement by a person other than a current client or investor in a private fund advised by the investment adviser that:</w:t>
      </w:r>
    </w:p>
    <w:p w14:paraId="0813AC31" w14:textId="77777777" w:rsidR="002C695A" w:rsidRDefault="002C695A" w:rsidP="00F50332">
      <w:pPr>
        <w:shd w:val="clear" w:color="auto" w:fill="FFFFFF"/>
        <w:textAlignment w:val="baseline"/>
      </w:pPr>
    </w:p>
    <w:p w14:paraId="529BB4E9" w14:textId="017DD35B" w:rsidR="005D3593" w:rsidRDefault="005D3593" w:rsidP="005651C2">
      <w:pPr>
        <w:pStyle w:val="ListParagraph"/>
        <w:numPr>
          <w:ilvl w:val="0"/>
          <w:numId w:val="39"/>
        </w:numPr>
        <w:shd w:val="clear" w:color="auto" w:fill="FFFFFF"/>
        <w:textAlignment w:val="baseline"/>
      </w:pPr>
      <w:r>
        <w:t xml:space="preserve">Indicates approval, support, or recommendation of the investment adviser or its supervised persons or describes that person’s experience with the investment adviser or its supervised </w:t>
      </w:r>
      <w:proofErr w:type="gramStart"/>
      <w:r>
        <w:t>persons;</w:t>
      </w:r>
      <w:proofErr w:type="gramEnd"/>
    </w:p>
    <w:p w14:paraId="6CE3FD6B" w14:textId="77777777" w:rsidR="005651C2" w:rsidRDefault="005651C2" w:rsidP="005651C2">
      <w:pPr>
        <w:pStyle w:val="ListParagraph"/>
        <w:shd w:val="clear" w:color="auto" w:fill="FFFFFF"/>
        <w:ind w:left="1440"/>
        <w:textAlignment w:val="baseline"/>
      </w:pPr>
    </w:p>
    <w:p w14:paraId="3A782E54" w14:textId="24D48E60" w:rsidR="005D3593" w:rsidRDefault="005D3593" w:rsidP="005651C2">
      <w:pPr>
        <w:pStyle w:val="ListParagraph"/>
        <w:numPr>
          <w:ilvl w:val="0"/>
          <w:numId w:val="35"/>
        </w:numPr>
        <w:shd w:val="clear" w:color="auto" w:fill="FFFFFF"/>
        <w:textAlignment w:val="baseline"/>
      </w:pPr>
      <w:r>
        <w:t xml:space="preserve">Directly or indirectly solicits any current or prospective client or investor to be a client of, or an investor in a private fund advised by, the investment adviser; or </w:t>
      </w:r>
    </w:p>
    <w:p w14:paraId="5EE8D231" w14:textId="77777777" w:rsidR="005651C2" w:rsidRDefault="005651C2" w:rsidP="005651C2">
      <w:pPr>
        <w:pStyle w:val="ListParagraph"/>
        <w:shd w:val="clear" w:color="auto" w:fill="FFFFFF"/>
        <w:ind w:left="1440"/>
        <w:textAlignment w:val="baseline"/>
      </w:pPr>
    </w:p>
    <w:p w14:paraId="2F9624A2" w14:textId="56BB7A31" w:rsidR="005D3593" w:rsidRDefault="005D3593" w:rsidP="005651C2">
      <w:pPr>
        <w:pStyle w:val="ListParagraph"/>
        <w:numPr>
          <w:ilvl w:val="0"/>
          <w:numId w:val="35"/>
        </w:numPr>
        <w:shd w:val="clear" w:color="auto" w:fill="FFFFFF"/>
        <w:textAlignment w:val="baseline"/>
      </w:pPr>
      <w:r>
        <w:t>Refers any current or prospective client or investor to be a client of, or an investor in a private fund advised by, the investment adviser.</w:t>
      </w:r>
    </w:p>
    <w:p w14:paraId="7C0B3975" w14:textId="77777777" w:rsidR="00054B04" w:rsidRDefault="00054B04" w:rsidP="00054B04">
      <w:pPr>
        <w:pStyle w:val="ListParagraph"/>
      </w:pPr>
    </w:p>
    <w:p w14:paraId="714B97CB" w14:textId="18793F5D" w:rsidR="00054B04" w:rsidRDefault="004C7C51" w:rsidP="004C7C51">
      <w:pPr>
        <w:shd w:val="clear" w:color="auto" w:fill="FFFFFF"/>
        <w:ind w:left="720"/>
        <w:textAlignment w:val="baseline"/>
      </w:pPr>
      <w:r>
        <w:t>Note: the SEC has merged SEC Rule 206(4)-3, the solicitor’s rule, into 206(4)-1, the advertising rule.  They have also dropped the use of the term “</w:t>
      </w:r>
      <w:r w:rsidR="00D14E9C">
        <w:t xml:space="preserve">solicitor” and incorporate the </w:t>
      </w:r>
      <w:r w:rsidR="00414A14">
        <w:t>acts</w:t>
      </w:r>
      <w:r w:rsidR="00D14E9C">
        <w:t xml:space="preserve"> as providing an “endorsement.”</w:t>
      </w:r>
    </w:p>
    <w:p w14:paraId="4B0278CC" w14:textId="77777777" w:rsidR="003D60B1" w:rsidRDefault="003D60B1" w:rsidP="00F50332">
      <w:pPr>
        <w:shd w:val="clear" w:color="auto" w:fill="FFFFFF"/>
        <w:textAlignment w:val="baseline"/>
      </w:pPr>
    </w:p>
    <w:p w14:paraId="2E0825B5" w14:textId="469CB432" w:rsidR="005D3593" w:rsidRDefault="00CF6D8A"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Extracted performance</w:t>
      </w:r>
      <w:r w:rsidRPr="0092778D">
        <w:rPr>
          <w:i/>
          <w:iCs/>
        </w:rPr>
        <w:t>”</w:t>
      </w:r>
      <w:r w:rsidR="005D3593">
        <w:t xml:space="preserve"> </w:t>
      </w:r>
      <w:r>
        <w:t>-</w:t>
      </w:r>
      <w:r w:rsidR="005D3593">
        <w:t xml:space="preserve"> the performance results of a subset of investments extracted from a portfolio.</w:t>
      </w:r>
    </w:p>
    <w:p w14:paraId="2CE8415D" w14:textId="77777777" w:rsidR="003D60B1" w:rsidRDefault="003D60B1" w:rsidP="0092778D">
      <w:pPr>
        <w:pStyle w:val="ListParagraph"/>
        <w:shd w:val="clear" w:color="auto" w:fill="FFFFFF"/>
        <w:textAlignment w:val="baseline"/>
      </w:pPr>
    </w:p>
    <w:p w14:paraId="099B55D7" w14:textId="2A2E9B93" w:rsidR="005D3593" w:rsidRDefault="0092778D"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Gross performance</w:t>
      </w:r>
      <w:r w:rsidR="00CF6D8A" w:rsidRPr="0092778D">
        <w:rPr>
          <w:i/>
          <w:iCs/>
        </w:rPr>
        <w:t>”</w:t>
      </w:r>
      <w:r w:rsidR="005D3593">
        <w:t xml:space="preserve"> </w:t>
      </w:r>
      <w:r w:rsidR="00CF6D8A">
        <w:t>-</w:t>
      </w:r>
      <w:r w:rsidR="005D3593">
        <w:t xml:space="preserve"> the performance results of a portfolio (or portions of a portfolio that are included in extracted performance, if applicable) before the deduction of all fees and expenses that a client or investor has paid or would have paid in connection with the investment adviser’s investment advisory services to the relevant portfolio. </w:t>
      </w:r>
    </w:p>
    <w:p w14:paraId="237BC2ED" w14:textId="77777777" w:rsidR="003D60B1" w:rsidRDefault="003D60B1" w:rsidP="0092778D">
      <w:pPr>
        <w:pStyle w:val="ListParagraph"/>
        <w:shd w:val="clear" w:color="auto" w:fill="FFFFFF"/>
        <w:textAlignment w:val="baseline"/>
      </w:pPr>
    </w:p>
    <w:p w14:paraId="2738DEB7" w14:textId="7B54CFFA" w:rsidR="005D3593" w:rsidRDefault="00CF6D8A"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Hypothetical performance</w:t>
      </w:r>
      <w:r w:rsidRPr="0092778D">
        <w:rPr>
          <w:i/>
          <w:iCs/>
        </w:rPr>
        <w:t>”</w:t>
      </w:r>
      <w:r w:rsidR="005D3593">
        <w:t xml:space="preserve"> </w:t>
      </w:r>
      <w:r>
        <w:t>-</w:t>
      </w:r>
      <w:r w:rsidR="005D3593">
        <w:t xml:space="preserve"> performance results that were not actually achieved by any portfolio of the investment adviser. Hypothetical performance includes, but is not limited to:</w:t>
      </w:r>
    </w:p>
    <w:p w14:paraId="6487D016" w14:textId="77777777" w:rsidR="002C695A" w:rsidRDefault="002C695A" w:rsidP="00F50332">
      <w:pPr>
        <w:shd w:val="clear" w:color="auto" w:fill="FFFFFF"/>
        <w:textAlignment w:val="baseline"/>
      </w:pPr>
    </w:p>
    <w:p w14:paraId="46B491D0" w14:textId="184AB986" w:rsidR="008E79B2" w:rsidRDefault="005D3593" w:rsidP="008E79B2">
      <w:pPr>
        <w:pStyle w:val="ListParagraph"/>
        <w:numPr>
          <w:ilvl w:val="0"/>
          <w:numId w:val="40"/>
        </w:numPr>
        <w:shd w:val="clear" w:color="auto" w:fill="FFFFFF"/>
        <w:textAlignment w:val="baseline"/>
      </w:pPr>
      <w:r>
        <w:t xml:space="preserve">Performance derived from model </w:t>
      </w:r>
      <w:proofErr w:type="gramStart"/>
      <w:r>
        <w:t>portfolios;</w:t>
      </w:r>
      <w:proofErr w:type="gramEnd"/>
    </w:p>
    <w:p w14:paraId="4BC4E281" w14:textId="039A04BE" w:rsidR="005D3593" w:rsidRDefault="005D3593" w:rsidP="008E79B2">
      <w:pPr>
        <w:pStyle w:val="ListParagraph"/>
        <w:shd w:val="clear" w:color="auto" w:fill="FFFFFF"/>
        <w:ind w:left="1440"/>
        <w:textAlignment w:val="baseline"/>
      </w:pPr>
      <w:r>
        <w:t xml:space="preserve"> </w:t>
      </w:r>
    </w:p>
    <w:p w14:paraId="5B324867" w14:textId="3027A6EC" w:rsidR="005D3593" w:rsidRDefault="005D3593" w:rsidP="008E79B2">
      <w:pPr>
        <w:pStyle w:val="ListParagraph"/>
        <w:numPr>
          <w:ilvl w:val="0"/>
          <w:numId w:val="40"/>
        </w:numPr>
        <w:shd w:val="clear" w:color="auto" w:fill="FFFFFF"/>
        <w:textAlignment w:val="baseline"/>
      </w:pPr>
      <w:r>
        <w:t xml:space="preserve">Performance that is backtested by the application of a strategy to data from prior time periods when the strategy was not actually used during those time periods; and </w:t>
      </w:r>
    </w:p>
    <w:p w14:paraId="0C211774" w14:textId="77777777" w:rsidR="008E79B2" w:rsidRDefault="008E79B2" w:rsidP="008E79B2">
      <w:pPr>
        <w:pStyle w:val="ListParagraph"/>
      </w:pPr>
    </w:p>
    <w:p w14:paraId="33107395" w14:textId="48D24331" w:rsidR="005D3593" w:rsidRDefault="005D3593" w:rsidP="008E79B2">
      <w:pPr>
        <w:pStyle w:val="ListParagraph"/>
        <w:numPr>
          <w:ilvl w:val="0"/>
          <w:numId w:val="40"/>
        </w:numPr>
        <w:shd w:val="clear" w:color="auto" w:fill="FFFFFF"/>
        <w:textAlignment w:val="baseline"/>
      </w:pPr>
      <w:r>
        <w:t xml:space="preserve">Targeted or projected performance returns with respect to any portfolio or to the investment advisory services </w:t>
      </w:r>
      <w:proofErr w:type="gramStart"/>
      <w:r>
        <w:t>with regard to</w:t>
      </w:r>
      <w:proofErr w:type="gramEnd"/>
      <w:r>
        <w:t xml:space="preserve"> securities offered in the advertisement. </w:t>
      </w:r>
    </w:p>
    <w:p w14:paraId="566EE325" w14:textId="77777777" w:rsidR="008E79B2" w:rsidRDefault="008E79B2" w:rsidP="008E79B2">
      <w:pPr>
        <w:pStyle w:val="ListParagraph"/>
      </w:pPr>
    </w:p>
    <w:p w14:paraId="192EDEA4" w14:textId="4BAF4569" w:rsidR="005D3593" w:rsidRDefault="005D3593" w:rsidP="00F50332">
      <w:pPr>
        <w:shd w:val="clear" w:color="auto" w:fill="FFFFFF"/>
        <w:ind w:left="720"/>
        <w:textAlignment w:val="baseline"/>
      </w:pPr>
      <w:r>
        <w:t xml:space="preserve">(iv) </w:t>
      </w:r>
      <w:r w:rsidR="005651C2">
        <w:tab/>
      </w:r>
      <w:r>
        <w:t xml:space="preserve">Hypothetical performance does not include: </w:t>
      </w:r>
    </w:p>
    <w:p w14:paraId="022F4CFB" w14:textId="77777777" w:rsidR="005651C2" w:rsidRDefault="005651C2" w:rsidP="00F50332">
      <w:pPr>
        <w:shd w:val="clear" w:color="auto" w:fill="FFFFFF"/>
        <w:ind w:left="1440"/>
        <w:textAlignment w:val="baseline"/>
      </w:pPr>
    </w:p>
    <w:p w14:paraId="3620064E" w14:textId="6BA8D9ED" w:rsidR="005D3593" w:rsidRDefault="005D3593" w:rsidP="005651C2">
      <w:pPr>
        <w:shd w:val="clear" w:color="auto" w:fill="FFFFFF"/>
        <w:ind w:left="2160" w:hanging="720"/>
        <w:textAlignment w:val="baseline"/>
      </w:pPr>
      <w:r>
        <w:t xml:space="preserve">(A) </w:t>
      </w:r>
      <w:r w:rsidR="005651C2">
        <w:tab/>
      </w:r>
      <w:r>
        <w:t xml:space="preserve">An interactive analysis tool where a client or investor, or prospective client, or investor, uses the tool to produce simulations and statistical analyses that present the likelihood of various investment outcomes if certain investments are made or certain investment strategies or styles are undertaken, thereby serving as an additional resource to investors in the evaluation of the potential risks and returns of investment choices; provided that the investment adviser: </w:t>
      </w:r>
    </w:p>
    <w:p w14:paraId="4282D0FA" w14:textId="77777777" w:rsidR="005651C2" w:rsidRDefault="005651C2" w:rsidP="00F50332">
      <w:pPr>
        <w:shd w:val="clear" w:color="auto" w:fill="FFFFFF"/>
        <w:ind w:left="2160"/>
        <w:textAlignment w:val="baseline"/>
      </w:pPr>
    </w:p>
    <w:p w14:paraId="059EB82E" w14:textId="030D5EAE" w:rsidR="005D3593" w:rsidRDefault="005D3593" w:rsidP="005651C2">
      <w:pPr>
        <w:shd w:val="clear" w:color="auto" w:fill="FFFFFF"/>
        <w:ind w:left="2880" w:hanging="720"/>
        <w:textAlignment w:val="baseline"/>
      </w:pPr>
      <w:r>
        <w:t xml:space="preserve">(1) </w:t>
      </w:r>
      <w:r w:rsidR="005651C2">
        <w:tab/>
      </w:r>
      <w:r>
        <w:t xml:space="preserve">Provides a description of the criteria and methodology used, including the investment analysis tool’s limitations and key </w:t>
      </w:r>
      <w:proofErr w:type="gramStart"/>
      <w:r>
        <w:t>assumptions;</w:t>
      </w:r>
      <w:proofErr w:type="gramEnd"/>
      <w:r>
        <w:t xml:space="preserve"> </w:t>
      </w:r>
    </w:p>
    <w:p w14:paraId="71BA97BE" w14:textId="77777777" w:rsidR="005651C2" w:rsidRDefault="005651C2" w:rsidP="00F50332">
      <w:pPr>
        <w:shd w:val="clear" w:color="auto" w:fill="FFFFFF"/>
        <w:ind w:left="2160"/>
        <w:textAlignment w:val="baseline"/>
      </w:pPr>
    </w:p>
    <w:p w14:paraId="350C6805" w14:textId="32F5F8D4" w:rsidR="005D3593" w:rsidRDefault="005D3593" w:rsidP="00F50332">
      <w:pPr>
        <w:shd w:val="clear" w:color="auto" w:fill="FFFFFF"/>
        <w:ind w:left="2160"/>
        <w:textAlignment w:val="baseline"/>
      </w:pPr>
      <w:r>
        <w:t xml:space="preserve">(2) </w:t>
      </w:r>
      <w:r w:rsidR="005651C2">
        <w:tab/>
      </w:r>
      <w:r>
        <w:t xml:space="preserve">Explains that the results may vary with each use and over </w:t>
      </w:r>
      <w:proofErr w:type="gramStart"/>
      <w:r>
        <w:t>time;</w:t>
      </w:r>
      <w:proofErr w:type="gramEnd"/>
      <w:r>
        <w:t xml:space="preserve"> </w:t>
      </w:r>
    </w:p>
    <w:p w14:paraId="56A7EBC9" w14:textId="77777777" w:rsidR="005651C2" w:rsidRDefault="005651C2" w:rsidP="00F50332">
      <w:pPr>
        <w:shd w:val="clear" w:color="auto" w:fill="FFFFFF"/>
        <w:ind w:left="2160"/>
        <w:textAlignment w:val="baseline"/>
      </w:pPr>
    </w:p>
    <w:p w14:paraId="37FF6135" w14:textId="5F18AFB5" w:rsidR="005D3593" w:rsidRDefault="008E79B2" w:rsidP="008E79B2">
      <w:pPr>
        <w:pStyle w:val="ListParagraph"/>
        <w:numPr>
          <w:ilvl w:val="0"/>
          <w:numId w:val="36"/>
        </w:numPr>
        <w:shd w:val="clear" w:color="auto" w:fill="FFFFFF"/>
        <w:textAlignment w:val="baseline"/>
      </w:pPr>
      <w:r>
        <w:tab/>
      </w:r>
      <w:r w:rsidR="00C701FA">
        <w:t>I</w:t>
      </w:r>
      <w:r w:rsidR="005D3593">
        <w:t xml:space="preserve">f applicable, describes the universe of investments considered in the </w:t>
      </w:r>
      <w:proofErr w:type="gramStart"/>
      <w:r w:rsidR="005D3593">
        <w:t>a</w:t>
      </w:r>
      <w:proofErr w:type="gramEnd"/>
      <w:r w:rsidR="00DC447E">
        <w:tab/>
        <w:t>a</w:t>
      </w:r>
      <w:r w:rsidR="005D3593">
        <w:t xml:space="preserve">nalysis, explains how the tool determines which investments to select, </w:t>
      </w:r>
      <w:r w:rsidR="00DC447E">
        <w:tab/>
        <w:t>d</w:t>
      </w:r>
      <w:r w:rsidR="005D3593">
        <w:t>iscloses if the tool favors certain investments and, if so, explains the</w:t>
      </w:r>
      <w:r w:rsidR="00DC447E">
        <w:tab/>
        <w:t>r</w:t>
      </w:r>
      <w:r w:rsidR="005D3593">
        <w:t xml:space="preserve">eason for the selectivity, and states that other investments not </w:t>
      </w:r>
      <w:r w:rsidR="00DC447E">
        <w:tab/>
        <w:t>c</w:t>
      </w:r>
      <w:r w:rsidR="005D3593">
        <w:t>onsidered may have characteristics similar or superior to those being a</w:t>
      </w:r>
      <w:r w:rsidR="00DC447E">
        <w:tab/>
        <w:t>a</w:t>
      </w:r>
      <w:r w:rsidR="005D3593">
        <w:t xml:space="preserve">nalyzed; and </w:t>
      </w:r>
    </w:p>
    <w:p w14:paraId="38E86A2B" w14:textId="77777777" w:rsidR="008E79B2" w:rsidRDefault="008E79B2" w:rsidP="008E79B2">
      <w:pPr>
        <w:pStyle w:val="ListParagraph"/>
        <w:shd w:val="clear" w:color="auto" w:fill="FFFFFF"/>
        <w:ind w:left="2520"/>
        <w:textAlignment w:val="baseline"/>
      </w:pPr>
    </w:p>
    <w:p w14:paraId="6A3EF288" w14:textId="0BEB3E80" w:rsidR="008A4FD7" w:rsidRDefault="005D3593" w:rsidP="008A4FD7">
      <w:pPr>
        <w:pStyle w:val="ListParagraph"/>
        <w:numPr>
          <w:ilvl w:val="0"/>
          <w:numId w:val="36"/>
        </w:numPr>
        <w:shd w:val="clear" w:color="auto" w:fill="FFFFFF"/>
        <w:textAlignment w:val="baseline"/>
      </w:pPr>
      <w:r>
        <w:t>Discloses that the tool generates outcomes that are hypothetical in nature; or</w:t>
      </w:r>
    </w:p>
    <w:p w14:paraId="72B760B0" w14:textId="77777777" w:rsidR="008A4FD7" w:rsidRDefault="008A4FD7" w:rsidP="008A4FD7">
      <w:pPr>
        <w:pStyle w:val="ListParagraph"/>
      </w:pPr>
    </w:p>
    <w:p w14:paraId="6722C66F" w14:textId="4E7D8EE6" w:rsidR="005D3593" w:rsidRDefault="005D3593" w:rsidP="00662783">
      <w:pPr>
        <w:shd w:val="clear" w:color="auto" w:fill="FFFFFF"/>
        <w:ind w:left="2160" w:hanging="720"/>
        <w:textAlignment w:val="baseline"/>
      </w:pPr>
      <w:r>
        <w:t>(B)</w:t>
      </w:r>
      <w:r w:rsidR="008A4FD7">
        <w:tab/>
      </w:r>
      <w:r>
        <w:t xml:space="preserve">Predecessor performance that is displayed in compliance with paragraph (7) of this section. </w:t>
      </w:r>
    </w:p>
    <w:p w14:paraId="1D109C3F" w14:textId="77777777" w:rsidR="003D60B1" w:rsidRDefault="003D60B1" w:rsidP="00F50332">
      <w:pPr>
        <w:shd w:val="clear" w:color="auto" w:fill="FFFFFF"/>
        <w:textAlignment w:val="baseline"/>
      </w:pPr>
    </w:p>
    <w:p w14:paraId="3C2382AA" w14:textId="32DA5CE0" w:rsidR="005D3593" w:rsidRDefault="00CF6D8A"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Ineligible person</w:t>
      </w:r>
      <w:r w:rsidRPr="0092778D">
        <w:rPr>
          <w:i/>
          <w:iCs/>
        </w:rPr>
        <w:t>”</w:t>
      </w:r>
      <w:r w:rsidR="005D3593">
        <w:t xml:space="preserve"> </w:t>
      </w:r>
      <w:r>
        <w:t>-</w:t>
      </w:r>
      <w:r w:rsidR="005D3593">
        <w:t xml:space="preserve"> a person who is subject to a disqualifying Commission action or is subject to any disqualifying event, and the following persons with respect to the ineligible person:</w:t>
      </w:r>
    </w:p>
    <w:p w14:paraId="4F40853C" w14:textId="77777777" w:rsidR="002C695A" w:rsidRDefault="002C695A" w:rsidP="00F50332">
      <w:pPr>
        <w:shd w:val="clear" w:color="auto" w:fill="FFFFFF"/>
        <w:textAlignment w:val="baseline"/>
      </w:pPr>
    </w:p>
    <w:p w14:paraId="395894A4" w14:textId="0A3EE99B" w:rsidR="005D3593" w:rsidRDefault="005D3593" w:rsidP="00A4363D">
      <w:pPr>
        <w:pStyle w:val="ListParagraph"/>
        <w:numPr>
          <w:ilvl w:val="0"/>
          <w:numId w:val="34"/>
        </w:numPr>
        <w:shd w:val="clear" w:color="auto" w:fill="FFFFFF"/>
        <w:textAlignment w:val="baseline"/>
      </w:pPr>
      <w:r>
        <w:t xml:space="preserve">Any employee, officer, or director of the ineligible person and any other individuals with similar status or functions within the scope of association with the ineligible </w:t>
      </w:r>
      <w:proofErr w:type="gramStart"/>
      <w:r>
        <w:t>person;</w:t>
      </w:r>
      <w:proofErr w:type="gramEnd"/>
    </w:p>
    <w:p w14:paraId="436CCCF5" w14:textId="77777777" w:rsidR="00AE5030" w:rsidRDefault="00AE5030" w:rsidP="00F50332">
      <w:pPr>
        <w:shd w:val="clear" w:color="auto" w:fill="FFFFFF"/>
        <w:ind w:left="720"/>
        <w:textAlignment w:val="baseline"/>
      </w:pPr>
    </w:p>
    <w:p w14:paraId="538DE04B" w14:textId="77777777" w:rsidR="00AE5030" w:rsidRDefault="005D3593" w:rsidP="00AE5030">
      <w:pPr>
        <w:pStyle w:val="ListParagraph"/>
        <w:numPr>
          <w:ilvl w:val="0"/>
          <w:numId w:val="34"/>
        </w:numPr>
        <w:shd w:val="clear" w:color="auto" w:fill="FFFFFF"/>
        <w:textAlignment w:val="baseline"/>
      </w:pPr>
      <w:r>
        <w:t>If the ineligible person is a partnership, all general partners; and</w:t>
      </w:r>
    </w:p>
    <w:p w14:paraId="04E273B8" w14:textId="77777777" w:rsidR="00AE5030" w:rsidRDefault="00AE5030" w:rsidP="00AE5030">
      <w:pPr>
        <w:pStyle w:val="ListParagraph"/>
      </w:pPr>
    </w:p>
    <w:p w14:paraId="5CE790B9" w14:textId="6623DA60" w:rsidR="005D3593" w:rsidRDefault="005D3593" w:rsidP="00AE5030">
      <w:pPr>
        <w:pStyle w:val="ListParagraph"/>
        <w:numPr>
          <w:ilvl w:val="0"/>
          <w:numId w:val="34"/>
        </w:numPr>
        <w:shd w:val="clear" w:color="auto" w:fill="FFFFFF"/>
        <w:textAlignment w:val="baseline"/>
      </w:pPr>
      <w:r>
        <w:t xml:space="preserve">If the ineligible person is a limited liability company managed by elected managers, all elected managers. </w:t>
      </w:r>
    </w:p>
    <w:p w14:paraId="39715AE2" w14:textId="77777777" w:rsidR="003D60B1" w:rsidRDefault="003D60B1" w:rsidP="00F50332">
      <w:pPr>
        <w:shd w:val="clear" w:color="auto" w:fill="FFFFFF"/>
        <w:textAlignment w:val="baseline"/>
      </w:pPr>
    </w:p>
    <w:p w14:paraId="3AA7FAA6" w14:textId="76D821FD" w:rsidR="005D3593" w:rsidRDefault="00CF6D8A"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Net performance</w:t>
      </w:r>
      <w:r w:rsidRPr="0092778D">
        <w:rPr>
          <w:i/>
          <w:iCs/>
        </w:rPr>
        <w:t>”</w:t>
      </w:r>
      <w:r w:rsidR="005D3593">
        <w:t xml:space="preserve"> </w:t>
      </w:r>
      <w:r>
        <w:t>-</w:t>
      </w:r>
      <w:r w:rsidR="005D3593">
        <w:t xml:space="preserve"> the performance results of a portfolio (or portions of a portfolio that are included in extracted performance, if applicable) after the deduction of all fees and expenses that a client or investor has paid or would have paid in connection with the investment adviser’s investment advisory services to the relevant portfolio, including, if applicable, advisory fees, advisory fees paid to underlying investment vehicles, and payments by the investment adviser for which the client or investor reimburses the investment adviser. For purposes of this rule, net performance:</w:t>
      </w:r>
    </w:p>
    <w:p w14:paraId="048E1681" w14:textId="77777777" w:rsidR="002C695A" w:rsidRDefault="002C695A" w:rsidP="00F50332">
      <w:pPr>
        <w:shd w:val="clear" w:color="auto" w:fill="FFFFFF"/>
        <w:textAlignment w:val="baseline"/>
      </w:pPr>
    </w:p>
    <w:p w14:paraId="59478C4B" w14:textId="62E32EA4" w:rsidR="005D3593" w:rsidRDefault="005D3593" w:rsidP="0015388D">
      <w:pPr>
        <w:pStyle w:val="ListParagraph"/>
        <w:numPr>
          <w:ilvl w:val="0"/>
          <w:numId w:val="32"/>
        </w:numPr>
        <w:shd w:val="clear" w:color="auto" w:fill="FFFFFF"/>
        <w:textAlignment w:val="baseline"/>
      </w:pPr>
      <w:r>
        <w:t>May reflect the exclusion of custodian fees paid to a bank or other third-party organization for safekeeping funds and securities; and/or</w:t>
      </w:r>
    </w:p>
    <w:p w14:paraId="40812D02" w14:textId="77777777" w:rsidR="00A4363D" w:rsidRDefault="00A4363D" w:rsidP="00A4363D">
      <w:pPr>
        <w:pStyle w:val="ListParagraph"/>
        <w:shd w:val="clear" w:color="auto" w:fill="FFFFFF"/>
        <w:ind w:left="1440"/>
        <w:textAlignment w:val="baseline"/>
      </w:pPr>
    </w:p>
    <w:p w14:paraId="28DDF8DB" w14:textId="79694CE3" w:rsidR="005D3593" w:rsidRDefault="005D3593" w:rsidP="0015388D">
      <w:pPr>
        <w:pStyle w:val="ListParagraph"/>
        <w:numPr>
          <w:ilvl w:val="0"/>
          <w:numId w:val="32"/>
        </w:numPr>
        <w:shd w:val="clear" w:color="auto" w:fill="FFFFFF"/>
        <w:textAlignment w:val="baseline"/>
      </w:pPr>
      <w:r>
        <w:t>If using a model fee, must reflect one of the following:</w:t>
      </w:r>
    </w:p>
    <w:p w14:paraId="3A4DF549" w14:textId="77777777" w:rsidR="00A4363D" w:rsidRDefault="00A4363D" w:rsidP="00A4363D">
      <w:pPr>
        <w:pStyle w:val="ListParagraph"/>
      </w:pPr>
    </w:p>
    <w:p w14:paraId="66A0BAB4" w14:textId="6FCF3638" w:rsidR="005D3593" w:rsidRDefault="005D3593" w:rsidP="00A4363D">
      <w:pPr>
        <w:pStyle w:val="ListParagraph"/>
        <w:numPr>
          <w:ilvl w:val="0"/>
          <w:numId w:val="33"/>
        </w:numPr>
        <w:shd w:val="clear" w:color="auto" w:fill="FFFFFF"/>
        <w:textAlignment w:val="baseline"/>
      </w:pPr>
      <w:r>
        <w:t>The deduction of a model fee when doing so would result in performance figures that are no higher than if the actual fee had been deducted; or</w:t>
      </w:r>
    </w:p>
    <w:p w14:paraId="4457F551" w14:textId="77777777" w:rsidR="00A4363D" w:rsidRDefault="00A4363D" w:rsidP="00A4363D">
      <w:pPr>
        <w:shd w:val="clear" w:color="auto" w:fill="FFFFFF"/>
        <w:ind w:left="2160" w:hanging="720"/>
        <w:textAlignment w:val="baseline"/>
      </w:pPr>
    </w:p>
    <w:p w14:paraId="3F2780BB" w14:textId="3725E892" w:rsidR="005D3593" w:rsidRDefault="005D3593" w:rsidP="00A4363D">
      <w:pPr>
        <w:shd w:val="clear" w:color="auto" w:fill="FFFFFF"/>
        <w:ind w:left="2160" w:hanging="720"/>
        <w:textAlignment w:val="baseline"/>
      </w:pPr>
      <w:r>
        <w:t>(B)</w:t>
      </w:r>
      <w:r w:rsidR="00A4363D">
        <w:tab/>
      </w:r>
      <w:r>
        <w:t xml:space="preserve">The deduction of a model fee that is equal to the highest fee charged to the intended audience to whom the advertisement is disseminated. </w:t>
      </w:r>
    </w:p>
    <w:p w14:paraId="57CB2AFC" w14:textId="77777777" w:rsidR="003D60B1" w:rsidRDefault="003D60B1" w:rsidP="00F50332">
      <w:pPr>
        <w:shd w:val="clear" w:color="auto" w:fill="FFFFFF"/>
        <w:textAlignment w:val="baseline"/>
      </w:pPr>
    </w:p>
    <w:p w14:paraId="69824AA4" w14:textId="1CE88782" w:rsidR="005D3593" w:rsidRDefault="00CF6D8A" w:rsidP="0092778D">
      <w:pPr>
        <w:pStyle w:val="ListParagraph"/>
        <w:numPr>
          <w:ilvl w:val="0"/>
          <w:numId w:val="31"/>
        </w:numPr>
        <w:shd w:val="clear" w:color="auto" w:fill="FFFFFF"/>
        <w:ind w:left="720" w:hanging="720"/>
        <w:textAlignment w:val="baseline"/>
      </w:pPr>
      <w:r w:rsidRPr="0092778D">
        <w:rPr>
          <w:i/>
          <w:iCs/>
        </w:rPr>
        <w:lastRenderedPageBreak/>
        <w:t>“</w:t>
      </w:r>
      <w:r w:rsidR="005D3593" w:rsidRPr="0092778D">
        <w:rPr>
          <w:i/>
          <w:iCs/>
        </w:rPr>
        <w:t>Portfolio</w:t>
      </w:r>
      <w:r w:rsidRPr="0092778D">
        <w:rPr>
          <w:i/>
          <w:iCs/>
        </w:rPr>
        <w:t>”</w:t>
      </w:r>
      <w:r w:rsidR="005D3593" w:rsidRPr="0092778D">
        <w:rPr>
          <w:i/>
          <w:iCs/>
        </w:rPr>
        <w:t xml:space="preserve"> </w:t>
      </w:r>
      <w:r>
        <w:t>-</w:t>
      </w:r>
      <w:r w:rsidR="005D3593">
        <w:t xml:space="preserve"> a group of investments managed by the investment adviser. A portfolio may be an account or a private fund and includes, but is not limited to, a portfolio for the account of the investment adviser or its advisory affiliate (as defined in the Form ADV Glossary of Terms). </w:t>
      </w:r>
    </w:p>
    <w:p w14:paraId="41B7719F" w14:textId="77777777" w:rsidR="003D60B1" w:rsidRDefault="003D60B1" w:rsidP="0092778D">
      <w:pPr>
        <w:pStyle w:val="ListParagraph"/>
        <w:shd w:val="clear" w:color="auto" w:fill="FFFFFF"/>
        <w:textAlignment w:val="baseline"/>
      </w:pPr>
    </w:p>
    <w:p w14:paraId="46766512" w14:textId="41C3BE39" w:rsidR="005D3593" w:rsidRDefault="00A253CC"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Predecessor performance</w:t>
      </w:r>
      <w:r w:rsidRPr="0092778D">
        <w:rPr>
          <w:i/>
          <w:iCs/>
        </w:rPr>
        <w:t>”</w:t>
      </w:r>
      <w:r w:rsidR="005D3593">
        <w:t xml:space="preserve"> </w:t>
      </w:r>
      <w:r>
        <w:t>-</w:t>
      </w:r>
      <w:r w:rsidR="005D3593">
        <w:t xml:space="preserve"> investment performance achieved by a group of investments consisting of an account or a private fund that was not </w:t>
      </w:r>
      <w:proofErr w:type="gramStart"/>
      <w:r w:rsidR="005D3593">
        <w:t>advised at all times</w:t>
      </w:r>
      <w:proofErr w:type="gramEnd"/>
      <w:r w:rsidR="005D3593">
        <w:t xml:space="preserve"> during the period shown by the investment adviser advertising the performance. </w:t>
      </w:r>
    </w:p>
    <w:p w14:paraId="3E630596" w14:textId="77777777" w:rsidR="003D60B1" w:rsidRDefault="003D60B1" w:rsidP="0092778D">
      <w:pPr>
        <w:pStyle w:val="ListParagraph"/>
        <w:shd w:val="clear" w:color="auto" w:fill="FFFFFF"/>
        <w:textAlignment w:val="baseline"/>
      </w:pPr>
    </w:p>
    <w:p w14:paraId="4710482B" w14:textId="5ED68576" w:rsidR="005D3593" w:rsidRDefault="00A253CC"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Private fund</w:t>
      </w:r>
      <w:r w:rsidRPr="0092778D">
        <w:rPr>
          <w:i/>
          <w:iCs/>
        </w:rPr>
        <w:t>”</w:t>
      </w:r>
      <w:r w:rsidR="005D3593">
        <w:t xml:space="preserve"> </w:t>
      </w:r>
      <w:r>
        <w:t>-</w:t>
      </w:r>
      <w:r w:rsidR="005D3593">
        <w:t xml:space="preserve"> the same meaning as in section 2(a)(29) of the </w:t>
      </w:r>
      <w:r w:rsidR="0062303C">
        <w:t xml:space="preserve">Investment Company </w:t>
      </w:r>
      <w:r w:rsidR="005D3593">
        <w:t>Act</w:t>
      </w:r>
      <w:r w:rsidR="0062303C">
        <w:t xml:space="preserve"> of 1940</w:t>
      </w:r>
      <w:r w:rsidR="005D3593">
        <w:t xml:space="preserve">. </w:t>
      </w:r>
    </w:p>
    <w:p w14:paraId="047B5AB7" w14:textId="77777777" w:rsidR="003D60B1" w:rsidRDefault="003D60B1" w:rsidP="0092778D">
      <w:pPr>
        <w:pStyle w:val="ListParagraph"/>
        <w:shd w:val="clear" w:color="auto" w:fill="FFFFFF"/>
        <w:textAlignment w:val="baseline"/>
      </w:pPr>
    </w:p>
    <w:p w14:paraId="56AD7149" w14:textId="6101F326" w:rsidR="005D3593" w:rsidRDefault="0062303C"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Related performance</w:t>
      </w:r>
      <w:r w:rsidRPr="0092778D">
        <w:rPr>
          <w:i/>
          <w:iCs/>
        </w:rPr>
        <w:t>”</w:t>
      </w:r>
      <w:r w:rsidR="005D3593">
        <w:t xml:space="preserve"> </w:t>
      </w:r>
      <w:r>
        <w:t>-</w:t>
      </w:r>
      <w:r w:rsidR="005D3593">
        <w:t xml:space="preserve"> the performance results of one or more related portfolios, either on a portfolio-by-portfolio basis or as a composite aggregation of all portfolios falling within stated criteria. </w:t>
      </w:r>
    </w:p>
    <w:p w14:paraId="270F93AE" w14:textId="77777777" w:rsidR="003D60B1" w:rsidRDefault="003D60B1" w:rsidP="0092778D">
      <w:pPr>
        <w:pStyle w:val="ListParagraph"/>
        <w:shd w:val="clear" w:color="auto" w:fill="FFFFFF"/>
        <w:textAlignment w:val="baseline"/>
      </w:pPr>
    </w:p>
    <w:p w14:paraId="56DFEB4A" w14:textId="5F188010" w:rsidR="005D3593" w:rsidRDefault="00861FE8"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Related portfolio</w:t>
      </w:r>
      <w:r w:rsidRPr="0092778D">
        <w:rPr>
          <w:i/>
          <w:iCs/>
        </w:rPr>
        <w:t>”</w:t>
      </w:r>
      <w:r w:rsidR="005D3593">
        <w:t xml:space="preserve"> </w:t>
      </w:r>
      <w:r>
        <w:t>-</w:t>
      </w:r>
      <w:r w:rsidR="005D3593">
        <w:t xml:space="preserve"> a portfolio with substantially similar investment policies, objectives, and strategies as those of the services being offered in the advertisement. </w:t>
      </w:r>
    </w:p>
    <w:p w14:paraId="169E0E59" w14:textId="77777777" w:rsidR="003D60B1" w:rsidRDefault="003D60B1" w:rsidP="0092778D">
      <w:pPr>
        <w:pStyle w:val="ListParagraph"/>
        <w:shd w:val="clear" w:color="auto" w:fill="FFFFFF"/>
        <w:textAlignment w:val="baseline"/>
      </w:pPr>
    </w:p>
    <w:p w14:paraId="675253B1" w14:textId="2178F191" w:rsidR="005D3593" w:rsidRDefault="00BB0B56"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Supervised person</w:t>
      </w:r>
      <w:r w:rsidRPr="0092778D">
        <w:rPr>
          <w:i/>
          <w:iCs/>
        </w:rPr>
        <w:t>”</w:t>
      </w:r>
      <w:r w:rsidR="005D3593">
        <w:t xml:space="preserve"> </w:t>
      </w:r>
      <w:r w:rsidR="00861FE8">
        <w:t>-</w:t>
      </w:r>
      <w:r w:rsidR="005D3593">
        <w:t xml:space="preserve"> the same meaning as in section 2(a)(25) of the </w:t>
      </w:r>
      <w:r>
        <w:t xml:space="preserve">Investment Company </w:t>
      </w:r>
      <w:r w:rsidR="005D3593">
        <w:t>Act</w:t>
      </w:r>
      <w:r>
        <w:t xml:space="preserve"> of 1940</w:t>
      </w:r>
      <w:r w:rsidR="005D3593">
        <w:t xml:space="preserve">. </w:t>
      </w:r>
    </w:p>
    <w:p w14:paraId="34FE9E87" w14:textId="77777777" w:rsidR="003D60B1" w:rsidRDefault="003D60B1" w:rsidP="0092778D">
      <w:pPr>
        <w:pStyle w:val="ListParagraph"/>
        <w:shd w:val="clear" w:color="auto" w:fill="FFFFFF"/>
        <w:textAlignment w:val="baseline"/>
      </w:pPr>
    </w:p>
    <w:p w14:paraId="5C619706" w14:textId="7D48B7CF" w:rsidR="005D3593" w:rsidRDefault="001C539B" w:rsidP="0092778D">
      <w:pPr>
        <w:pStyle w:val="ListParagraph"/>
        <w:numPr>
          <w:ilvl w:val="0"/>
          <w:numId w:val="31"/>
        </w:numPr>
        <w:shd w:val="clear" w:color="auto" w:fill="FFFFFF"/>
        <w:ind w:left="720" w:hanging="720"/>
        <w:textAlignment w:val="baseline"/>
      </w:pPr>
      <w:r w:rsidRPr="0092778D">
        <w:t>“</w:t>
      </w:r>
      <w:r w:rsidR="005D3593" w:rsidRPr="0092778D">
        <w:t>Testimonial</w:t>
      </w:r>
      <w:r w:rsidRPr="0092778D">
        <w:t>”</w:t>
      </w:r>
      <w:r w:rsidR="005D3593">
        <w:t xml:space="preserve"> </w:t>
      </w:r>
      <w:r>
        <w:t>-</w:t>
      </w:r>
      <w:r w:rsidR="005D3593">
        <w:t xml:space="preserve"> any statement by a current client or investor in a private fund advised by the investment adviser:</w:t>
      </w:r>
    </w:p>
    <w:p w14:paraId="1156D14C" w14:textId="77777777" w:rsidR="002C695A" w:rsidRDefault="002C695A" w:rsidP="00F50332">
      <w:pPr>
        <w:shd w:val="clear" w:color="auto" w:fill="FFFFFF"/>
        <w:textAlignment w:val="baseline"/>
      </w:pPr>
    </w:p>
    <w:p w14:paraId="26EBA656" w14:textId="047AA07A" w:rsidR="005D3593" w:rsidRDefault="005D3593" w:rsidP="002C695A">
      <w:pPr>
        <w:pStyle w:val="ListParagraph"/>
        <w:numPr>
          <w:ilvl w:val="0"/>
          <w:numId w:val="32"/>
        </w:numPr>
        <w:shd w:val="clear" w:color="auto" w:fill="FFFFFF"/>
        <w:textAlignment w:val="baseline"/>
      </w:pPr>
      <w:r>
        <w:t xml:space="preserve">About the client or investor’s experience with the investment adviser or its supervised </w:t>
      </w:r>
      <w:proofErr w:type="gramStart"/>
      <w:r>
        <w:t>persons;</w:t>
      </w:r>
      <w:proofErr w:type="gramEnd"/>
    </w:p>
    <w:p w14:paraId="65302EA7" w14:textId="77777777" w:rsidR="002C695A" w:rsidRDefault="002C695A" w:rsidP="0015388D">
      <w:pPr>
        <w:pStyle w:val="ListParagraph"/>
        <w:shd w:val="clear" w:color="auto" w:fill="FFFFFF"/>
        <w:ind w:left="1440"/>
        <w:textAlignment w:val="baseline"/>
      </w:pPr>
    </w:p>
    <w:p w14:paraId="47E6AD5C" w14:textId="77956EFF" w:rsidR="0015388D" w:rsidRDefault="005D3593" w:rsidP="0015388D">
      <w:pPr>
        <w:pStyle w:val="ListParagraph"/>
        <w:numPr>
          <w:ilvl w:val="0"/>
          <w:numId w:val="32"/>
        </w:numPr>
        <w:shd w:val="clear" w:color="auto" w:fill="FFFFFF"/>
        <w:textAlignment w:val="baseline"/>
      </w:pPr>
      <w:r>
        <w:t>That directly or indirectly solicits any current or prospective client or investor to be a client of, or an investor in a private fund advised by, the investment adviser; or</w:t>
      </w:r>
    </w:p>
    <w:p w14:paraId="0FCAE55B" w14:textId="77777777" w:rsidR="0015388D" w:rsidRDefault="0015388D" w:rsidP="0015388D">
      <w:pPr>
        <w:pStyle w:val="ListParagraph"/>
      </w:pPr>
    </w:p>
    <w:p w14:paraId="23876A4B" w14:textId="32AC269F" w:rsidR="005D3593" w:rsidRDefault="005D3593" w:rsidP="0015388D">
      <w:pPr>
        <w:pStyle w:val="ListParagraph"/>
        <w:numPr>
          <w:ilvl w:val="0"/>
          <w:numId w:val="32"/>
        </w:numPr>
        <w:shd w:val="clear" w:color="auto" w:fill="FFFFFF"/>
        <w:textAlignment w:val="baseline"/>
      </w:pPr>
      <w:r>
        <w:t xml:space="preserve">That refers any current or prospective client or investor to be a client of, or an investor in a private fund advised by, the investment adviser. </w:t>
      </w:r>
    </w:p>
    <w:p w14:paraId="20350478" w14:textId="77777777" w:rsidR="000A7797" w:rsidRDefault="000A7797" w:rsidP="000A7797">
      <w:pPr>
        <w:shd w:val="clear" w:color="auto" w:fill="FFFFFF"/>
        <w:ind w:left="720" w:hanging="720"/>
        <w:textAlignment w:val="baseline"/>
      </w:pPr>
    </w:p>
    <w:p w14:paraId="11525FE1" w14:textId="581FF166" w:rsidR="000A7797" w:rsidRDefault="00A97ED6" w:rsidP="0092778D">
      <w:pPr>
        <w:pStyle w:val="ListParagraph"/>
        <w:numPr>
          <w:ilvl w:val="0"/>
          <w:numId w:val="31"/>
        </w:numPr>
        <w:shd w:val="clear" w:color="auto" w:fill="FFFFFF"/>
        <w:ind w:left="720" w:hanging="720"/>
        <w:textAlignment w:val="baseline"/>
      </w:pPr>
      <w:r w:rsidRPr="0092778D">
        <w:rPr>
          <w:i/>
          <w:iCs/>
        </w:rPr>
        <w:t>“</w:t>
      </w:r>
      <w:r w:rsidR="000A7797" w:rsidRPr="0092778D">
        <w:rPr>
          <w:i/>
          <w:iCs/>
        </w:rPr>
        <w:t>Third-Party Content</w:t>
      </w:r>
      <w:r w:rsidRPr="0092778D">
        <w:rPr>
          <w:i/>
          <w:iCs/>
        </w:rPr>
        <w:t>”</w:t>
      </w:r>
      <w:r w:rsidR="0092778D">
        <w:rPr>
          <w:i/>
          <w:iCs/>
        </w:rPr>
        <w:t xml:space="preserve"> - t</w:t>
      </w:r>
      <w:r w:rsidR="000A7797" w:rsidRPr="000A7797">
        <w:t xml:space="preserve">he definition of advertisement includes “any direct or indirect communication” of an adviser. This means that a communication distributed by an agent or intermediary on behalf of an adviser would generally be considered an “advertisement” of the adviser. </w:t>
      </w:r>
      <w:r w:rsidR="00D8396D">
        <w:t xml:space="preserve">The Adopting Release </w:t>
      </w:r>
      <w:r w:rsidR="009A6B1D">
        <w:t>defined the concepts of</w:t>
      </w:r>
      <w:r w:rsidR="000A7797" w:rsidRPr="000A7797">
        <w:t xml:space="preserve"> “adoption” and “entanglement” in the context of third-party content on company websites, the Adopting Release also notes that third-party information may be an indirect “advertisement” if the adviser has either endorsed or approved the information after publication or involved itself in the preparation of the information.</w:t>
      </w:r>
    </w:p>
    <w:p w14:paraId="0F9C5928" w14:textId="77777777" w:rsidR="00E405CA" w:rsidRDefault="00E405CA" w:rsidP="0092778D">
      <w:pPr>
        <w:pStyle w:val="ListParagraph"/>
        <w:shd w:val="clear" w:color="auto" w:fill="FFFFFF"/>
        <w:textAlignment w:val="baseline"/>
      </w:pPr>
    </w:p>
    <w:p w14:paraId="1D057951" w14:textId="2986DC68" w:rsidR="005D3593" w:rsidRPr="0092778D" w:rsidRDefault="001C539B" w:rsidP="0092778D">
      <w:pPr>
        <w:pStyle w:val="ListParagraph"/>
        <w:numPr>
          <w:ilvl w:val="0"/>
          <w:numId w:val="31"/>
        </w:numPr>
        <w:shd w:val="clear" w:color="auto" w:fill="FFFFFF"/>
        <w:ind w:left="720" w:hanging="720"/>
        <w:textAlignment w:val="baseline"/>
      </w:pPr>
      <w:r w:rsidRPr="0092778D">
        <w:rPr>
          <w:i/>
          <w:iCs/>
        </w:rPr>
        <w:t>“</w:t>
      </w:r>
      <w:r w:rsidR="005D3593" w:rsidRPr="0092778D">
        <w:rPr>
          <w:i/>
          <w:iCs/>
        </w:rPr>
        <w:t>Third-party rating</w:t>
      </w:r>
      <w:r w:rsidRPr="0092778D">
        <w:rPr>
          <w:i/>
          <w:iCs/>
        </w:rPr>
        <w:t>”</w:t>
      </w:r>
      <w:r w:rsidR="005D3593">
        <w:t xml:space="preserve"> </w:t>
      </w:r>
      <w:r>
        <w:t xml:space="preserve">- </w:t>
      </w:r>
      <w:r w:rsidR="005D3593">
        <w:t>a rating or ranking of an investment adviser provided by a person who is not a related person (as defined in the Form ADV Glossary of Terms), and such person provides such ratings or rankings in the ordinary course of its business.</w:t>
      </w:r>
    </w:p>
    <w:p w14:paraId="3F2787B9" w14:textId="77777777" w:rsidR="005D3593" w:rsidRPr="006A254D" w:rsidRDefault="005D3593" w:rsidP="001946F7"/>
    <w:p w14:paraId="16B76642" w14:textId="72179A18" w:rsidR="001946F7" w:rsidRPr="006D26D8" w:rsidRDefault="009757BE" w:rsidP="00763550">
      <w:pPr>
        <w:pStyle w:val="Heading2"/>
        <w:numPr>
          <w:ilvl w:val="0"/>
          <w:numId w:val="0"/>
        </w:numPr>
        <w:ind w:left="360" w:hanging="360"/>
        <w:rPr>
          <w:u w:val="single"/>
        </w:rPr>
      </w:pPr>
      <w:r w:rsidRPr="006D26D8">
        <w:rPr>
          <w:u w:val="single"/>
        </w:rPr>
        <w:lastRenderedPageBreak/>
        <w:t>General Prohibitions</w:t>
      </w:r>
    </w:p>
    <w:p w14:paraId="14DABA23" w14:textId="77777777" w:rsidR="001946F7" w:rsidRPr="006A254D" w:rsidRDefault="001946F7" w:rsidP="001946F7">
      <w:pPr>
        <w:keepNext/>
        <w:rPr>
          <w:highlight w:val="yellow"/>
        </w:rPr>
      </w:pPr>
    </w:p>
    <w:p w14:paraId="3D184179" w14:textId="09D12986" w:rsidR="00AC47A1" w:rsidRDefault="00AC47A1" w:rsidP="00AC47A1">
      <w:pPr>
        <w:shd w:val="clear" w:color="auto" w:fill="FFFFFF"/>
        <w:textAlignment w:val="baseline"/>
      </w:pPr>
      <w:r>
        <w:t>An advertisement may not:</w:t>
      </w:r>
    </w:p>
    <w:p w14:paraId="3832B134" w14:textId="77777777" w:rsidR="00DE07D6" w:rsidRDefault="00DE07D6" w:rsidP="00AC47A1">
      <w:pPr>
        <w:shd w:val="clear" w:color="auto" w:fill="FFFFFF"/>
        <w:textAlignment w:val="baseline"/>
      </w:pPr>
    </w:p>
    <w:p w14:paraId="1B275F61" w14:textId="0ACC2E6C" w:rsidR="00DE07D6" w:rsidRDefault="00C16BDB" w:rsidP="00DE07D6">
      <w:pPr>
        <w:pStyle w:val="ListParagraph"/>
        <w:numPr>
          <w:ilvl w:val="0"/>
          <w:numId w:val="41"/>
        </w:numPr>
        <w:shd w:val="clear" w:color="auto" w:fill="FFFFFF"/>
        <w:textAlignment w:val="baseline"/>
      </w:pPr>
      <w:r>
        <w:tab/>
        <w:t>I</w:t>
      </w:r>
      <w:r w:rsidR="00AC47A1">
        <w:t xml:space="preserve">nclude any untrue statement of a material fact, or omit to state a material fact </w:t>
      </w:r>
      <w:r>
        <w:tab/>
        <w:t>n</w:t>
      </w:r>
      <w:r w:rsidR="00AC47A1">
        <w:t xml:space="preserve">ecessary in order to make the statement made, in the light of the circumstances under </w:t>
      </w:r>
      <w:r>
        <w:tab/>
        <w:t>w</w:t>
      </w:r>
      <w:r w:rsidR="00AC47A1">
        <w:t xml:space="preserve">hich it was made, not </w:t>
      </w:r>
      <w:proofErr w:type="gramStart"/>
      <w:r w:rsidR="00AC47A1">
        <w:t>misleading;</w:t>
      </w:r>
      <w:proofErr w:type="gramEnd"/>
    </w:p>
    <w:p w14:paraId="6694A083" w14:textId="0BC4E239" w:rsidR="00AC47A1" w:rsidRDefault="00AC47A1" w:rsidP="00DE07D6">
      <w:pPr>
        <w:pStyle w:val="ListParagraph"/>
        <w:shd w:val="clear" w:color="auto" w:fill="FFFFFF"/>
        <w:ind w:left="1080"/>
        <w:textAlignment w:val="baseline"/>
      </w:pPr>
      <w:r>
        <w:t xml:space="preserve"> </w:t>
      </w:r>
    </w:p>
    <w:p w14:paraId="6EDEAE75" w14:textId="5081B5DE" w:rsidR="00AC47A1" w:rsidRDefault="00BB0DCB" w:rsidP="00670C16">
      <w:pPr>
        <w:pStyle w:val="ListParagraph"/>
        <w:numPr>
          <w:ilvl w:val="0"/>
          <w:numId w:val="41"/>
        </w:numPr>
        <w:shd w:val="clear" w:color="auto" w:fill="FFFFFF"/>
        <w:textAlignment w:val="baseline"/>
      </w:pPr>
      <w:r>
        <w:tab/>
        <w:t>I</w:t>
      </w:r>
      <w:r w:rsidR="00AC47A1">
        <w:t xml:space="preserve">nclude a material statement of fact that the adviser does not have a reasonable basis </w:t>
      </w:r>
      <w:r w:rsidR="00670C16">
        <w:tab/>
        <w:t>f</w:t>
      </w:r>
      <w:r w:rsidR="00AC47A1">
        <w:t xml:space="preserve">or believing it will be able to substantiate upon demand by the </w:t>
      </w:r>
      <w:proofErr w:type="gramStart"/>
      <w:r w:rsidR="00AC47A1">
        <w:t>Commission;</w:t>
      </w:r>
      <w:proofErr w:type="gramEnd"/>
    </w:p>
    <w:p w14:paraId="12F5DAAE" w14:textId="77777777" w:rsidR="00670C16" w:rsidRDefault="00670C16" w:rsidP="00670C16">
      <w:pPr>
        <w:pStyle w:val="ListParagraph"/>
      </w:pPr>
    </w:p>
    <w:p w14:paraId="6FD7BBC8" w14:textId="7DED086B" w:rsidR="00AC47A1" w:rsidRDefault="0018620A" w:rsidP="0018620A">
      <w:pPr>
        <w:pStyle w:val="ListParagraph"/>
        <w:numPr>
          <w:ilvl w:val="0"/>
          <w:numId w:val="41"/>
        </w:numPr>
        <w:shd w:val="clear" w:color="auto" w:fill="FFFFFF"/>
        <w:textAlignment w:val="baseline"/>
      </w:pPr>
      <w:r>
        <w:tab/>
        <w:t>I</w:t>
      </w:r>
      <w:r w:rsidR="00AC47A1">
        <w:t xml:space="preserve">nclude information that would reasonably be likely to cause an untrue or misleading </w:t>
      </w:r>
      <w:r w:rsidR="00BB0DCB">
        <w:tab/>
        <w:t>i</w:t>
      </w:r>
      <w:r w:rsidR="00AC47A1">
        <w:t xml:space="preserve">mplication or inference to be drawn concerning a material fact relating to the </w:t>
      </w:r>
      <w:r>
        <w:tab/>
        <w:t>i</w:t>
      </w:r>
      <w:r w:rsidR="00AC47A1">
        <w:t xml:space="preserve">nvestment </w:t>
      </w:r>
      <w:proofErr w:type="gramStart"/>
      <w:r w:rsidR="00AC47A1">
        <w:t>adviser;</w:t>
      </w:r>
      <w:proofErr w:type="gramEnd"/>
      <w:r w:rsidR="00AC47A1">
        <w:t xml:space="preserve"> </w:t>
      </w:r>
    </w:p>
    <w:p w14:paraId="36DC15E5" w14:textId="77777777" w:rsidR="0018620A" w:rsidRDefault="0018620A" w:rsidP="0018620A">
      <w:pPr>
        <w:pStyle w:val="ListParagraph"/>
      </w:pPr>
    </w:p>
    <w:p w14:paraId="424BDC78" w14:textId="20D5C82B" w:rsidR="00AC47A1" w:rsidRDefault="00AC47A1" w:rsidP="0018620A">
      <w:pPr>
        <w:shd w:val="clear" w:color="auto" w:fill="FFFFFF"/>
        <w:ind w:left="1440" w:hanging="720"/>
        <w:textAlignment w:val="baseline"/>
      </w:pPr>
      <w:r>
        <w:t xml:space="preserve">(4) </w:t>
      </w:r>
      <w:r w:rsidR="0018620A">
        <w:tab/>
      </w:r>
      <w:r>
        <w:t xml:space="preserve">Discuss any potential benefits to clients or investors connected with or resulting from the investment adviser’s services or methods of operation without providing fair and balanced treatment of any material risks or material limitations associated with the potential </w:t>
      </w:r>
      <w:proofErr w:type="gramStart"/>
      <w:r>
        <w:t>benefits;</w:t>
      </w:r>
      <w:proofErr w:type="gramEnd"/>
      <w:r>
        <w:t xml:space="preserve"> </w:t>
      </w:r>
    </w:p>
    <w:p w14:paraId="70357203" w14:textId="77777777" w:rsidR="0018620A" w:rsidRDefault="0018620A" w:rsidP="00AC47A1">
      <w:pPr>
        <w:shd w:val="clear" w:color="auto" w:fill="FFFFFF"/>
        <w:ind w:left="720"/>
        <w:textAlignment w:val="baseline"/>
      </w:pPr>
    </w:p>
    <w:p w14:paraId="7355C853" w14:textId="73F533EC" w:rsidR="00AC47A1" w:rsidRDefault="00AC47A1" w:rsidP="0018620A">
      <w:pPr>
        <w:shd w:val="clear" w:color="auto" w:fill="FFFFFF"/>
        <w:ind w:left="1440" w:hanging="720"/>
        <w:textAlignment w:val="baseline"/>
      </w:pPr>
      <w:r>
        <w:t xml:space="preserve">(5) </w:t>
      </w:r>
      <w:r w:rsidR="0018620A">
        <w:tab/>
      </w:r>
      <w:r>
        <w:t xml:space="preserve">Include a reference to specific investment advice provided by the investment adviser where such investment advice is not presented in a manner that is fair and </w:t>
      </w:r>
      <w:proofErr w:type="gramStart"/>
      <w:r>
        <w:t>balanced;</w:t>
      </w:r>
      <w:proofErr w:type="gramEnd"/>
      <w:r>
        <w:t xml:space="preserve"> </w:t>
      </w:r>
    </w:p>
    <w:p w14:paraId="08619846" w14:textId="77777777" w:rsidR="0018620A" w:rsidRDefault="0018620A" w:rsidP="00AC47A1">
      <w:pPr>
        <w:shd w:val="clear" w:color="auto" w:fill="FFFFFF"/>
        <w:ind w:left="720"/>
        <w:textAlignment w:val="baseline"/>
      </w:pPr>
    </w:p>
    <w:p w14:paraId="3CF30519" w14:textId="6F178278" w:rsidR="00AC47A1" w:rsidRDefault="00AC47A1" w:rsidP="0018620A">
      <w:pPr>
        <w:shd w:val="clear" w:color="auto" w:fill="FFFFFF"/>
        <w:ind w:left="1440" w:hanging="720"/>
        <w:textAlignment w:val="baseline"/>
      </w:pPr>
      <w:r>
        <w:t xml:space="preserve">(6) </w:t>
      </w:r>
      <w:r w:rsidR="0018620A">
        <w:tab/>
      </w:r>
      <w:r>
        <w:t xml:space="preserve">Include or exclude performance results, or present performance time periods, in a manner that is not fair and balanced; or </w:t>
      </w:r>
    </w:p>
    <w:p w14:paraId="6E26F75B" w14:textId="77777777" w:rsidR="0018620A" w:rsidRDefault="0018620A" w:rsidP="000B15E6">
      <w:pPr>
        <w:shd w:val="clear" w:color="auto" w:fill="FFFFFF"/>
        <w:ind w:left="720"/>
        <w:textAlignment w:val="baseline"/>
      </w:pPr>
    </w:p>
    <w:p w14:paraId="4D3CC805" w14:textId="67EC4B74" w:rsidR="000B15E6" w:rsidRDefault="00AC47A1" w:rsidP="000B15E6">
      <w:pPr>
        <w:shd w:val="clear" w:color="auto" w:fill="FFFFFF"/>
        <w:ind w:left="720"/>
        <w:textAlignment w:val="baseline"/>
      </w:pPr>
      <w:r>
        <w:t xml:space="preserve">(7) </w:t>
      </w:r>
      <w:r w:rsidR="0018620A">
        <w:tab/>
      </w:r>
      <w:proofErr w:type="gramStart"/>
      <w:r>
        <w:t>Otherwise</w:t>
      </w:r>
      <w:proofErr w:type="gramEnd"/>
      <w:r>
        <w:t xml:space="preserve"> be materially misleading. </w:t>
      </w:r>
    </w:p>
    <w:p w14:paraId="01866EE0" w14:textId="1D583F93" w:rsidR="000B15E6" w:rsidRDefault="000B15E6" w:rsidP="000B15E6">
      <w:pPr>
        <w:shd w:val="clear" w:color="auto" w:fill="FFFFFF"/>
        <w:textAlignment w:val="baseline"/>
      </w:pPr>
    </w:p>
    <w:p w14:paraId="182BAC00" w14:textId="0B9990CB" w:rsidR="006D26D8" w:rsidRPr="006D26D8" w:rsidRDefault="00697312" w:rsidP="00763550">
      <w:pPr>
        <w:pStyle w:val="Heading2"/>
        <w:numPr>
          <w:ilvl w:val="0"/>
          <w:numId w:val="0"/>
        </w:numPr>
        <w:ind w:left="360" w:hanging="360"/>
        <w:rPr>
          <w:u w:val="single"/>
        </w:rPr>
      </w:pPr>
      <w:r>
        <w:rPr>
          <w:u w:val="single"/>
        </w:rPr>
        <w:t>Testimonials and Endorsements</w:t>
      </w:r>
    </w:p>
    <w:p w14:paraId="5D8BA6B8" w14:textId="5187CEA7" w:rsidR="000B15E6" w:rsidRDefault="000B15E6" w:rsidP="000B15E6">
      <w:pPr>
        <w:shd w:val="clear" w:color="auto" w:fill="FFFFFF"/>
        <w:textAlignment w:val="baseline"/>
      </w:pPr>
    </w:p>
    <w:p w14:paraId="0E161F35" w14:textId="5A56FD80" w:rsidR="000B15E6" w:rsidRDefault="000B15E6" w:rsidP="000B15E6">
      <w:pPr>
        <w:shd w:val="clear" w:color="auto" w:fill="FFFFFF"/>
        <w:textAlignment w:val="baseline"/>
      </w:pPr>
      <w:r>
        <w:t xml:space="preserve">An advertisement may not include any testimonial or endorsement, and an adviser may not provide compensation, directly or indirectly, for a testimonial or endorsement, unless the investment adviser complies with the conditions in paragraphs (1) through (3) of this section, subject to the exemptions in paragraph (4) of this section. </w:t>
      </w:r>
    </w:p>
    <w:p w14:paraId="02F60C88" w14:textId="77777777" w:rsidR="0018620A" w:rsidRDefault="0018620A" w:rsidP="000B15E6">
      <w:pPr>
        <w:shd w:val="clear" w:color="auto" w:fill="FFFFFF"/>
        <w:textAlignment w:val="baseline"/>
      </w:pPr>
    </w:p>
    <w:p w14:paraId="01B7E21D" w14:textId="5A35B363" w:rsidR="000B15E6" w:rsidRDefault="001C4C60" w:rsidP="001C4C60">
      <w:pPr>
        <w:pStyle w:val="ListParagraph"/>
        <w:numPr>
          <w:ilvl w:val="0"/>
          <w:numId w:val="42"/>
        </w:numPr>
        <w:shd w:val="clear" w:color="auto" w:fill="FFFFFF"/>
        <w:ind w:left="1440" w:hanging="720"/>
        <w:textAlignment w:val="baseline"/>
      </w:pPr>
      <w:r>
        <w:t>R</w:t>
      </w:r>
      <w:r w:rsidR="000B15E6">
        <w:t xml:space="preserve">equired disclosures. </w:t>
      </w:r>
      <w:r>
        <w:t xml:space="preserve"> </w:t>
      </w:r>
      <w:r w:rsidR="000B15E6">
        <w:t xml:space="preserve">The investment adviser discloses, or reasonably believes that the person giving the testimonial or endorsement discloses, the following at the time the testimonial or endorsement is disseminated: </w:t>
      </w:r>
    </w:p>
    <w:p w14:paraId="4A8A3E8E" w14:textId="77777777" w:rsidR="0018620A" w:rsidRDefault="0018620A" w:rsidP="00CB0ECB">
      <w:pPr>
        <w:pStyle w:val="ListParagraph"/>
        <w:shd w:val="clear" w:color="auto" w:fill="FFFFFF"/>
        <w:ind w:left="1080"/>
        <w:textAlignment w:val="baseline"/>
      </w:pPr>
    </w:p>
    <w:p w14:paraId="066A2C4F" w14:textId="3F3937B4" w:rsidR="000B15E6" w:rsidRDefault="000B15E6" w:rsidP="000B15E6">
      <w:pPr>
        <w:shd w:val="clear" w:color="auto" w:fill="FFFFFF"/>
        <w:ind w:left="720" w:firstLine="720"/>
        <w:textAlignment w:val="baseline"/>
      </w:pPr>
      <w:r>
        <w:t>(</w:t>
      </w:r>
      <w:proofErr w:type="spellStart"/>
      <w:r>
        <w:t>i</w:t>
      </w:r>
      <w:proofErr w:type="spellEnd"/>
      <w:r>
        <w:t>) Clearly and prominently</w:t>
      </w:r>
      <w:r w:rsidR="00DF05CC">
        <w:t xml:space="preserve"> (See definition of </w:t>
      </w:r>
      <w:r w:rsidR="00DF05CC" w:rsidRPr="00DF05CC">
        <w:rPr>
          <w:i/>
          <w:iCs/>
        </w:rPr>
        <w:t>clear and prominent disclosure</w:t>
      </w:r>
      <w:r w:rsidR="00DF05CC">
        <w:t xml:space="preserve"> above)</w:t>
      </w:r>
      <w:r>
        <w:t xml:space="preserve">: </w:t>
      </w:r>
    </w:p>
    <w:p w14:paraId="71260A22" w14:textId="77777777" w:rsidR="00CB0ECB" w:rsidRDefault="00CB0ECB" w:rsidP="000B15E6">
      <w:pPr>
        <w:shd w:val="clear" w:color="auto" w:fill="FFFFFF"/>
        <w:ind w:left="720" w:firstLine="720"/>
        <w:textAlignment w:val="baseline"/>
      </w:pPr>
    </w:p>
    <w:p w14:paraId="323287E7" w14:textId="50752E86" w:rsidR="000B15E6" w:rsidRDefault="000B15E6" w:rsidP="001C4C60">
      <w:pPr>
        <w:shd w:val="clear" w:color="auto" w:fill="FFFFFF"/>
        <w:ind w:left="2880" w:hanging="720"/>
        <w:textAlignment w:val="baseline"/>
      </w:pPr>
      <w:r>
        <w:t>(A)</w:t>
      </w:r>
      <w:r w:rsidR="001C4C60">
        <w:tab/>
      </w:r>
      <w:r>
        <w:t xml:space="preserve">That the testimonial was given by a current client or investor, and the endorsement was given by a person other than a current client or investor, as </w:t>
      </w:r>
      <w:proofErr w:type="gramStart"/>
      <w:r>
        <w:t>applicable;</w:t>
      </w:r>
      <w:proofErr w:type="gramEnd"/>
      <w:r>
        <w:t xml:space="preserve"> </w:t>
      </w:r>
    </w:p>
    <w:p w14:paraId="6AEB0CC1" w14:textId="77777777" w:rsidR="00CB0ECB" w:rsidRDefault="00CB0ECB" w:rsidP="000B15E6">
      <w:pPr>
        <w:shd w:val="clear" w:color="auto" w:fill="FFFFFF"/>
        <w:ind w:left="2160"/>
        <w:textAlignment w:val="baseline"/>
      </w:pPr>
    </w:p>
    <w:p w14:paraId="5794720A" w14:textId="2D0C36B8" w:rsidR="000B15E6" w:rsidRDefault="000B15E6" w:rsidP="009E36DB">
      <w:pPr>
        <w:shd w:val="clear" w:color="auto" w:fill="FFFFFF"/>
        <w:ind w:left="2880" w:hanging="720"/>
        <w:textAlignment w:val="baseline"/>
      </w:pPr>
      <w:r>
        <w:t xml:space="preserve">(B) </w:t>
      </w:r>
      <w:r w:rsidR="009E36DB">
        <w:tab/>
      </w:r>
      <w:r>
        <w:t xml:space="preserve">That cash or non-cash compensation was provided for the testimonial or endorsement, if applicable; and </w:t>
      </w:r>
    </w:p>
    <w:p w14:paraId="7E2D17EF" w14:textId="77777777" w:rsidR="00CB0ECB" w:rsidRDefault="00CB0ECB" w:rsidP="000B15E6">
      <w:pPr>
        <w:shd w:val="clear" w:color="auto" w:fill="FFFFFF"/>
        <w:ind w:left="2160"/>
        <w:textAlignment w:val="baseline"/>
      </w:pPr>
    </w:p>
    <w:p w14:paraId="74E7BF03" w14:textId="1DA0645B" w:rsidR="000B15E6" w:rsidRDefault="000B15E6" w:rsidP="009E36DB">
      <w:pPr>
        <w:shd w:val="clear" w:color="auto" w:fill="FFFFFF"/>
        <w:ind w:left="2880" w:hanging="720"/>
        <w:textAlignment w:val="baseline"/>
      </w:pPr>
      <w:r>
        <w:lastRenderedPageBreak/>
        <w:t xml:space="preserve">(C) </w:t>
      </w:r>
      <w:r w:rsidR="009E36DB">
        <w:tab/>
      </w:r>
      <w:r>
        <w:t xml:space="preserve">A brief statement of any material conflicts of interest on the part of the person giving the testimonial or endorsement resulting from the investment adviser’s relationship with such </w:t>
      </w:r>
      <w:proofErr w:type="gramStart"/>
      <w:r>
        <w:t>person;</w:t>
      </w:r>
      <w:proofErr w:type="gramEnd"/>
      <w:r>
        <w:t xml:space="preserve"> </w:t>
      </w:r>
    </w:p>
    <w:p w14:paraId="3E8E01BD" w14:textId="77777777" w:rsidR="00CB0ECB" w:rsidRDefault="00CB0ECB" w:rsidP="000B15E6">
      <w:pPr>
        <w:shd w:val="clear" w:color="auto" w:fill="FFFFFF"/>
        <w:ind w:left="1440"/>
        <w:textAlignment w:val="baseline"/>
      </w:pPr>
    </w:p>
    <w:p w14:paraId="7997C248" w14:textId="6145A945" w:rsidR="000B15E6" w:rsidRDefault="000B15E6" w:rsidP="009E36DB">
      <w:pPr>
        <w:shd w:val="clear" w:color="auto" w:fill="FFFFFF"/>
        <w:ind w:left="2160" w:hanging="720"/>
        <w:textAlignment w:val="baseline"/>
      </w:pPr>
      <w:r>
        <w:t xml:space="preserve">(ii) </w:t>
      </w:r>
      <w:r w:rsidR="009E36DB">
        <w:tab/>
      </w:r>
      <w:r>
        <w:t xml:space="preserve">The material terms of any compensation arrangement, including a description of the compensation provided or to be provided, directly or indirectly, to the person for the testimonial or endorsement; and </w:t>
      </w:r>
    </w:p>
    <w:p w14:paraId="45D387F6" w14:textId="77777777" w:rsidR="00CB0ECB" w:rsidRDefault="00CB0ECB" w:rsidP="000B15E6">
      <w:pPr>
        <w:shd w:val="clear" w:color="auto" w:fill="FFFFFF"/>
        <w:ind w:left="1440"/>
        <w:textAlignment w:val="baseline"/>
      </w:pPr>
    </w:p>
    <w:p w14:paraId="1364A48F" w14:textId="38572F3A" w:rsidR="00CB0ECB" w:rsidRDefault="000B15E6" w:rsidP="009E36DB">
      <w:pPr>
        <w:shd w:val="clear" w:color="auto" w:fill="FFFFFF"/>
        <w:ind w:left="2160" w:hanging="720"/>
        <w:textAlignment w:val="baseline"/>
      </w:pPr>
      <w:r>
        <w:t xml:space="preserve">(iii) </w:t>
      </w:r>
      <w:r w:rsidR="009E36DB">
        <w:tab/>
      </w:r>
      <w:r>
        <w:t>A description of any material conflicts of interest on the part of the person giving the testimonial or endorsement resulting from the investment adviser’s relationship with such person and/or any compensation arrangement.</w:t>
      </w:r>
    </w:p>
    <w:p w14:paraId="4E054F73" w14:textId="5F13BDC9" w:rsidR="000B15E6" w:rsidRDefault="000B15E6" w:rsidP="000B15E6">
      <w:pPr>
        <w:shd w:val="clear" w:color="auto" w:fill="FFFFFF"/>
        <w:ind w:left="1440"/>
        <w:textAlignment w:val="baseline"/>
      </w:pPr>
      <w:r>
        <w:t xml:space="preserve"> </w:t>
      </w:r>
    </w:p>
    <w:p w14:paraId="3CC5BC07" w14:textId="77BA9B33" w:rsidR="000B15E6" w:rsidRDefault="009E36DB" w:rsidP="009E36DB">
      <w:pPr>
        <w:pStyle w:val="ListParagraph"/>
        <w:numPr>
          <w:ilvl w:val="0"/>
          <w:numId w:val="42"/>
        </w:numPr>
        <w:shd w:val="clear" w:color="auto" w:fill="FFFFFF"/>
        <w:textAlignment w:val="baseline"/>
      </w:pPr>
      <w:r>
        <w:tab/>
        <w:t>A</w:t>
      </w:r>
      <w:r w:rsidR="000B15E6">
        <w:t xml:space="preserve">dviser oversight and compliance. The investment adviser must have: </w:t>
      </w:r>
    </w:p>
    <w:p w14:paraId="471FA4D7" w14:textId="77777777" w:rsidR="00AC7749" w:rsidRDefault="00AC7749" w:rsidP="00AC7749">
      <w:pPr>
        <w:pStyle w:val="ListParagraph"/>
        <w:shd w:val="clear" w:color="auto" w:fill="FFFFFF"/>
        <w:ind w:left="1080"/>
        <w:textAlignment w:val="baseline"/>
      </w:pPr>
    </w:p>
    <w:p w14:paraId="08CB3CCD" w14:textId="269E9ADC" w:rsidR="000B15E6" w:rsidRDefault="000B15E6" w:rsidP="009E36DB">
      <w:pPr>
        <w:shd w:val="clear" w:color="auto" w:fill="FFFFFF"/>
        <w:ind w:left="2160" w:hanging="720"/>
        <w:textAlignment w:val="baseline"/>
      </w:pPr>
      <w:r>
        <w:t>(</w:t>
      </w:r>
      <w:proofErr w:type="spellStart"/>
      <w:r>
        <w:t>i</w:t>
      </w:r>
      <w:proofErr w:type="spellEnd"/>
      <w:r>
        <w:t>)</w:t>
      </w:r>
      <w:r w:rsidR="009E36DB">
        <w:tab/>
      </w:r>
      <w:r>
        <w:t xml:space="preserve">A reasonable basis for believing that the testimonial or endorsement complies with the requirements of this section, and </w:t>
      </w:r>
    </w:p>
    <w:p w14:paraId="00D3A0B0" w14:textId="77777777" w:rsidR="00AC7749" w:rsidRDefault="00AC7749" w:rsidP="000B15E6">
      <w:pPr>
        <w:shd w:val="clear" w:color="auto" w:fill="FFFFFF"/>
        <w:ind w:left="1440"/>
        <w:textAlignment w:val="baseline"/>
      </w:pPr>
    </w:p>
    <w:p w14:paraId="77E8394B" w14:textId="64952B06" w:rsidR="000B15E6" w:rsidRDefault="000B15E6" w:rsidP="009E36DB">
      <w:pPr>
        <w:shd w:val="clear" w:color="auto" w:fill="FFFFFF"/>
        <w:ind w:left="2160" w:hanging="720"/>
        <w:textAlignment w:val="baseline"/>
      </w:pPr>
      <w:r>
        <w:t>(ii)</w:t>
      </w:r>
      <w:r w:rsidR="009E36DB">
        <w:tab/>
      </w:r>
      <w:r>
        <w:t>A written agreement with any person giving a testimonial or endorsement that describes the scope of the agreed-upon activities and the terms of compensation for those activities.</w:t>
      </w:r>
      <w:r w:rsidR="00AE12A1">
        <w:t xml:space="preserve">  This provision replaces the requirement for a written solicitor’s agreement</w:t>
      </w:r>
      <w:r w:rsidR="006A58B5">
        <w:t xml:space="preserve"> with the addition of a de minimis (see (3)(</w:t>
      </w:r>
      <w:proofErr w:type="spellStart"/>
      <w:r w:rsidR="006A58B5">
        <w:t>i</w:t>
      </w:r>
      <w:proofErr w:type="spellEnd"/>
      <w:r w:rsidR="006A58B5">
        <w:t>) of this section below.</w:t>
      </w:r>
    </w:p>
    <w:p w14:paraId="459CC703" w14:textId="77777777" w:rsidR="00AC7749" w:rsidRDefault="00AC7749" w:rsidP="000B15E6">
      <w:pPr>
        <w:shd w:val="clear" w:color="auto" w:fill="FFFFFF"/>
        <w:ind w:left="720"/>
        <w:textAlignment w:val="baseline"/>
      </w:pPr>
    </w:p>
    <w:p w14:paraId="22EAF4A0" w14:textId="250AE1F3" w:rsidR="000B15E6" w:rsidRDefault="000B15E6" w:rsidP="009E36DB">
      <w:pPr>
        <w:shd w:val="clear" w:color="auto" w:fill="FFFFFF"/>
        <w:ind w:left="1440" w:hanging="720"/>
        <w:textAlignment w:val="baseline"/>
      </w:pPr>
      <w:r>
        <w:t xml:space="preserve">(3) </w:t>
      </w:r>
      <w:r w:rsidR="009E36DB">
        <w:tab/>
        <w:t>D</w:t>
      </w:r>
      <w:r>
        <w:t xml:space="preserve">isqualification. </w:t>
      </w:r>
      <w:r w:rsidR="00385AE1">
        <w:t xml:space="preserve"> </w:t>
      </w:r>
      <w:r>
        <w:t>An investment adviser may not compensate a person, directly or indirectly, for a testimonial or endorsement if the adviser knows, or in the exercise of reasonable care should know, that the person giving the testimonial or endorsement is an ineligible person at the time the testimonial or endorsement is disseminated. This paragraph shall not disqualify any person for any matter(s) that occurred prior to</w:t>
      </w:r>
      <w:r w:rsidR="00A37A11">
        <w:t xml:space="preserve"> the effective date of Rule 206(4)-1</w:t>
      </w:r>
      <w:r>
        <w:t xml:space="preserve">, if such matter(s) would not have disqualified such person under §206(4)-3(a)(1)(ii) of this chapter, as in effect prior to </w:t>
      </w:r>
      <w:r w:rsidR="00A37A11">
        <w:t>the effective date of Rule 206(4)-1</w:t>
      </w:r>
      <w:r>
        <w:t xml:space="preserve">. </w:t>
      </w:r>
    </w:p>
    <w:p w14:paraId="5F9FF53B" w14:textId="77777777" w:rsidR="007164B1" w:rsidRDefault="007164B1" w:rsidP="000B15E6">
      <w:pPr>
        <w:shd w:val="clear" w:color="auto" w:fill="FFFFFF"/>
        <w:ind w:left="720"/>
        <w:textAlignment w:val="baseline"/>
      </w:pPr>
    </w:p>
    <w:p w14:paraId="2AB753B3" w14:textId="4A3DC8E8" w:rsidR="000B15E6" w:rsidRDefault="009E36DB" w:rsidP="000139FA">
      <w:pPr>
        <w:pStyle w:val="ListParagraph"/>
        <w:numPr>
          <w:ilvl w:val="0"/>
          <w:numId w:val="48"/>
        </w:numPr>
        <w:shd w:val="clear" w:color="auto" w:fill="FFFFFF"/>
        <w:textAlignment w:val="baseline"/>
      </w:pPr>
      <w:r>
        <w:tab/>
      </w:r>
      <w:r w:rsidR="00A1619C">
        <w:t>E</w:t>
      </w:r>
      <w:r w:rsidR="000B15E6">
        <w:t>xemptions</w:t>
      </w:r>
    </w:p>
    <w:p w14:paraId="2ECABDA9" w14:textId="77777777" w:rsidR="007164B1" w:rsidRDefault="007164B1" w:rsidP="007164B1">
      <w:pPr>
        <w:pStyle w:val="ListParagraph"/>
        <w:shd w:val="clear" w:color="auto" w:fill="FFFFFF"/>
        <w:ind w:left="1080"/>
        <w:textAlignment w:val="baseline"/>
      </w:pPr>
    </w:p>
    <w:p w14:paraId="5612CEFF" w14:textId="1E660FB4" w:rsidR="000B15E6" w:rsidRDefault="000B15E6" w:rsidP="004B75FF">
      <w:pPr>
        <w:shd w:val="clear" w:color="auto" w:fill="FFFFFF"/>
        <w:ind w:left="2160" w:hanging="720"/>
        <w:textAlignment w:val="baseline"/>
      </w:pPr>
      <w:r>
        <w:t>(</w:t>
      </w:r>
      <w:proofErr w:type="spellStart"/>
      <w:r>
        <w:t>i</w:t>
      </w:r>
      <w:proofErr w:type="spellEnd"/>
      <w:r>
        <w:t xml:space="preserve">) </w:t>
      </w:r>
      <w:r w:rsidR="004B75FF">
        <w:tab/>
      </w:r>
      <w:r>
        <w:t xml:space="preserve">A testimonial or endorsement disseminated for no compensation or </w:t>
      </w:r>
      <w:r w:rsidRPr="003767ED">
        <w:rPr>
          <w:i/>
          <w:iCs/>
        </w:rPr>
        <w:t>de minimis</w:t>
      </w:r>
      <w:r>
        <w:t xml:space="preserve"> compensation is not required to comply with paragraphs (2)(ii) and (3) of this </w:t>
      </w:r>
      <w:proofErr w:type="gramStart"/>
      <w:r>
        <w:t>section;</w:t>
      </w:r>
      <w:proofErr w:type="gramEnd"/>
    </w:p>
    <w:p w14:paraId="3DC7E795" w14:textId="77777777" w:rsidR="007164B1" w:rsidRDefault="007164B1" w:rsidP="000B15E6">
      <w:pPr>
        <w:shd w:val="clear" w:color="auto" w:fill="FFFFFF"/>
        <w:ind w:left="1440"/>
        <w:textAlignment w:val="baseline"/>
      </w:pPr>
    </w:p>
    <w:p w14:paraId="2A9BE5BA" w14:textId="29DFDCB9" w:rsidR="000B15E6" w:rsidRDefault="000B15E6" w:rsidP="004B75FF">
      <w:pPr>
        <w:shd w:val="clear" w:color="auto" w:fill="FFFFFF"/>
        <w:ind w:left="2160" w:hanging="720"/>
        <w:textAlignment w:val="baseline"/>
      </w:pPr>
      <w:r>
        <w:t xml:space="preserve">(ii) </w:t>
      </w:r>
      <w:r w:rsidR="004B75FF">
        <w:tab/>
      </w:r>
      <w:r>
        <w:t>A testimonial or endorsement by the investment adviser’s partners, officers, directors, or employees, or a person that controls, is controlled by, or is under common control with the investment adviser, or is a partner, officer, director or employee of such a person is not required to comply with paragraphs (1) and (2)(ii) of this section, provided that the affiliation between the investment adviser and such person is readily apparent to or is disclosed to the client or investor at the time the testimonial or endorsement is disseminated and the investment adviser documents such person’s status at the time the testimonial or endorsement is disseminated;</w:t>
      </w:r>
    </w:p>
    <w:p w14:paraId="4214AF55" w14:textId="77777777" w:rsidR="007164B1" w:rsidRDefault="007164B1" w:rsidP="000B15E6">
      <w:pPr>
        <w:shd w:val="clear" w:color="auto" w:fill="FFFFFF"/>
        <w:ind w:left="1440"/>
        <w:textAlignment w:val="baseline"/>
      </w:pPr>
    </w:p>
    <w:p w14:paraId="39C8E949" w14:textId="7740DB73" w:rsidR="000B15E6" w:rsidRDefault="000B15E6" w:rsidP="004B75FF">
      <w:pPr>
        <w:shd w:val="clear" w:color="auto" w:fill="FFFFFF"/>
        <w:ind w:left="2160" w:hanging="720"/>
        <w:textAlignment w:val="baseline"/>
      </w:pPr>
      <w:r>
        <w:lastRenderedPageBreak/>
        <w:t>(iii)</w:t>
      </w:r>
      <w:r w:rsidR="004B75FF">
        <w:tab/>
      </w:r>
      <w:r>
        <w:t xml:space="preserve">A testimonial or endorsement by a broker or dealer registered with the Commission under section 15(b) of the Securities Exchange Act of 1934 (15 U.S.C. 78o(a)) is not required to comply with: </w:t>
      </w:r>
    </w:p>
    <w:p w14:paraId="572F7E45" w14:textId="77777777" w:rsidR="00927482" w:rsidRDefault="00927482" w:rsidP="00927482">
      <w:pPr>
        <w:shd w:val="clear" w:color="auto" w:fill="FFFFFF"/>
        <w:ind w:left="2160"/>
        <w:textAlignment w:val="baseline"/>
      </w:pPr>
    </w:p>
    <w:p w14:paraId="6BAA71C1" w14:textId="7EAF14A0" w:rsidR="000B15E6" w:rsidRDefault="000B15E6" w:rsidP="004B75FF">
      <w:pPr>
        <w:shd w:val="clear" w:color="auto" w:fill="FFFFFF"/>
        <w:ind w:left="2880" w:hanging="720"/>
        <w:textAlignment w:val="baseline"/>
      </w:pPr>
      <w:r>
        <w:t xml:space="preserve">(A) </w:t>
      </w:r>
      <w:r w:rsidR="004B75FF">
        <w:tab/>
      </w:r>
      <w:r>
        <w:t xml:space="preserve">Paragraph (1) of this section if the testimonial or endorsement is a recommendation subject to §240.15l-1 (Regulation Best Interest) under that Act; 409 </w:t>
      </w:r>
    </w:p>
    <w:p w14:paraId="6BDD9F00" w14:textId="77777777" w:rsidR="00927482" w:rsidRDefault="00927482" w:rsidP="000B15E6">
      <w:pPr>
        <w:shd w:val="clear" w:color="auto" w:fill="FFFFFF"/>
        <w:ind w:left="2160"/>
        <w:textAlignment w:val="baseline"/>
      </w:pPr>
    </w:p>
    <w:p w14:paraId="04DAE9F6" w14:textId="68C9DEF3" w:rsidR="000B15E6" w:rsidRDefault="000B15E6" w:rsidP="004B75FF">
      <w:pPr>
        <w:shd w:val="clear" w:color="auto" w:fill="FFFFFF"/>
        <w:ind w:left="2880" w:hanging="720"/>
        <w:textAlignment w:val="baseline"/>
      </w:pPr>
      <w:r>
        <w:t xml:space="preserve">(B) </w:t>
      </w:r>
      <w:r w:rsidR="004B75FF">
        <w:tab/>
      </w:r>
      <w:r>
        <w:t xml:space="preserve">Paragraphs (1)(ii) and (iii) of this section if the testimonial or endorsement is provided to a person that is not a retail customer (as that term is defined in §240.15l-1 (Regulation Best Interest) under the Securities Exchange Act of 1934 (15 U.S.C. 78o(a)); and </w:t>
      </w:r>
    </w:p>
    <w:p w14:paraId="4AD10F0E" w14:textId="77777777" w:rsidR="00927482" w:rsidRDefault="00927482" w:rsidP="000B15E6">
      <w:pPr>
        <w:shd w:val="clear" w:color="auto" w:fill="FFFFFF"/>
        <w:ind w:left="2160"/>
        <w:textAlignment w:val="baseline"/>
      </w:pPr>
    </w:p>
    <w:p w14:paraId="5D4E24C2" w14:textId="27E64745" w:rsidR="000B15E6" w:rsidRDefault="000B15E6" w:rsidP="004B75FF">
      <w:pPr>
        <w:shd w:val="clear" w:color="auto" w:fill="FFFFFF"/>
        <w:ind w:left="2880" w:hanging="720"/>
        <w:textAlignment w:val="baseline"/>
      </w:pPr>
      <w:r>
        <w:t xml:space="preserve">(C) </w:t>
      </w:r>
      <w:r w:rsidR="004B75FF">
        <w:tab/>
      </w:r>
      <w:r>
        <w:t xml:space="preserve">Paragraph (b)(3) of this section if the broker or dealer is not subject to statutory disqualification, as defined under section 3(a)(39) of that Act; and </w:t>
      </w:r>
    </w:p>
    <w:p w14:paraId="350D6026" w14:textId="77777777" w:rsidR="00927482" w:rsidRDefault="00927482" w:rsidP="000B15E6">
      <w:pPr>
        <w:shd w:val="clear" w:color="auto" w:fill="FFFFFF"/>
        <w:ind w:left="1440"/>
        <w:textAlignment w:val="baseline"/>
      </w:pPr>
    </w:p>
    <w:p w14:paraId="19E50EA1" w14:textId="55A0B98F" w:rsidR="000B15E6" w:rsidRDefault="000B15E6" w:rsidP="004B75FF">
      <w:pPr>
        <w:shd w:val="clear" w:color="auto" w:fill="FFFFFF"/>
        <w:ind w:left="2160" w:hanging="720"/>
        <w:textAlignment w:val="baseline"/>
      </w:pPr>
      <w:r>
        <w:t xml:space="preserve">(iv) </w:t>
      </w:r>
      <w:r w:rsidR="004B75FF">
        <w:tab/>
      </w:r>
      <w:r>
        <w:t xml:space="preserve">A testimonial or endorsement by a person that is covered by rule 506(d) of the Securities Act of 1933 with respect to a rule 506 securities offering and whose involvement would not disqualify the offering under that rule is not required to comply with paragraph (3) of this section. </w:t>
      </w:r>
    </w:p>
    <w:p w14:paraId="1F3B9A24" w14:textId="4C950B87" w:rsidR="00697312" w:rsidRDefault="00697312" w:rsidP="000B15E6">
      <w:pPr>
        <w:shd w:val="clear" w:color="auto" w:fill="FFFFFF"/>
        <w:textAlignment w:val="baseline"/>
      </w:pPr>
    </w:p>
    <w:p w14:paraId="3F2A0CF2" w14:textId="669E36F8" w:rsidR="00697312" w:rsidRPr="006D26D8" w:rsidRDefault="00697312" w:rsidP="00763550">
      <w:pPr>
        <w:pStyle w:val="Heading2"/>
        <w:numPr>
          <w:ilvl w:val="0"/>
          <w:numId w:val="0"/>
        </w:numPr>
        <w:ind w:left="360" w:hanging="360"/>
        <w:rPr>
          <w:u w:val="single"/>
        </w:rPr>
      </w:pPr>
      <w:r>
        <w:rPr>
          <w:u w:val="single"/>
        </w:rPr>
        <w:t>Third-Party Ratings</w:t>
      </w:r>
    </w:p>
    <w:p w14:paraId="0CE81994" w14:textId="77777777" w:rsidR="00697312" w:rsidRDefault="00697312" w:rsidP="000B15E6">
      <w:pPr>
        <w:shd w:val="clear" w:color="auto" w:fill="FFFFFF"/>
        <w:textAlignment w:val="baseline"/>
      </w:pPr>
    </w:p>
    <w:p w14:paraId="53D59A96" w14:textId="6E6EAA84" w:rsidR="000B15E6" w:rsidRDefault="000B15E6" w:rsidP="000B15E6">
      <w:pPr>
        <w:shd w:val="clear" w:color="auto" w:fill="FFFFFF"/>
        <w:textAlignment w:val="baseline"/>
      </w:pPr>
      <w:r>
        <w:t>An advertisement may not include any third-party rating, unless the investment adviser:</w:t>
      </w:r>
    </w:p>
    <w:p w14:paraId="26908E21" w14:textId="77777777" w:rsidR="00927482" w:rsidRDefault="00927482" w:rsidP="000B15E6">
      <w:pPr>
        <w:shd w:val="clear" w:color="auto" w:fill="FFFFFF"/>
        <w:textAlignment w:val="baseline"/>
      </w:pPr>
    </w:p>
    <w:p w14:paraId="44985BE9" w14:textId="1C55B677" w:rsidR="000B15E6" w:rsidRDefault="000B15E6" w:rsidP="00CC2548">
      <w:pPr>
        <w:shd w:val="clear" w:color="auto" w:fill="FFFFFF"/>
        <w:ind w:left="1440" w:hanging="720"/>
        <w:textAlignment w:val="baseline"/>
      </w:pPr>
      <w:r>
        <w:t xml:space="preserve">(1) </w:t>
      </w:r>
      <w:r w:rsidR="00CC2548">
        <w:tab/>
      </w:r>
      <w:r>
        <w:t xml:space="preserve">Has a reasonable basis for believing that any questionnaire or survey used in the preparation of the third-party rating is structured to make it equally easy for a participant to provide favorable and unfavorable responses, and is not designed or prepared to produce any predetermined result; and </w:t>
      </w:r>
    </w:p>
    <w:p w14:paraId="03BC7A7D" w14:textId="77777777" w:rsidR="00927482" w:rsidRDefault="00927482" w:rsidP="000B15E6">
      <w:pPr>
        <w:shd w:val="clear" w:color="auto" w:fill="FFFFFF"/>
        <w:ind w:left="720"/>
        <w:textAlignment w:val="baseline"/>
      </w:pPr>
    </w:p>
    <w:p w14:paraId="240AD74F" w14:textId="58ABC7E0" w:rsidR="000B15E6" w:rsidRDefault="000B15E6" w:rsidP="00CC2548">
      <w:pPr>
        <w:shd w:val="clear" w:color="auto" w:fill="FFFFFF"/>
        <w:ind w:left="1440" w:hanging="720"/>
        <w:textAlignment w:val="baseline"/>
      </w:pPr>
      <w:r>
        <w:t xml:space="preserve">(2) </w:t>
      </w:r>
      <w:r w:rsidR="00CC2548">
        <w:tab/>
      </w:r>
      <w:r>
        <w:t>Clearly and prominently discloses</w:t>
      </w:r>
      <w:r w:rsidR="005A75D3">
        <w:t xml:space="preserve"> (See definition of </w:t>
      </w:r>
      <w:r w:rsidR="005A75D3" w:rsidRPr="005A75D3">
        <w:rPr>
          <w:i/>
          <w:iCs/>
        </w:rPr>
        <w:t>clear and prominent disclosure</w:t>
      </w:r>
      <w:r w:rsidR="005A75D3">
        <w:t xml:space="preserve"> above)</w:t>
      </w:r>
      <w:r>
        <w:t xml:space="preserve">, or the investment adviser reasonably believes that the third-party rating clearly and prominently discloses: </w:t>
      </w:r>
    </w:p>
    <w:p w14:paraId="3C37C7E9" w14:textId="77777777" w:rsidR="00927482" w:rsidRDefault="00927482" w:rsidP="000B15E6">
      <w:pPr>
        <w:shd w:val="clear" w:color="auto" w:fill="FFFFFF"/>
        <w:ind w:left="1440"/>
        <w:textAlignment w:val="baseline"/>
      </w:pPr>
    </w:p>
    <w:p w14:paraId="4EF2A71F" w14:textId="20C7B2D8" w:rsidR="000B15E6" w:rsidRDefault="000B15E6" w:rsidP="00CC2548">
      <w:pPr>
        <w:shd w:val="clear" w:color="auto" w:fill="FFFFFF"/>
        <w:ind w:left="2160" w:hanging="720"/>
        <w:textAlignment w:val="baseline"/>
      </w:pPr>
      <w:r>
        <w:t>(</w:t>
      </w:r>
      <w:proofErr w:type="spellStart"/>
      <w:r>
        <w:t>i</w:t>
      </w:r>
      <w:proofErr w:type="spellEnd"/>
      <w:r>
        <w:t xml:space="preserve">) </w:t>
      </w:r>
      <w:r w:rsidR="00CC2548">
        <w:tab/>
      </w:r>
      <w:r>
        <w:t xml:space="preserve">The date on which the rating was given and the period of time upon which the rating was </w:t>
      </w:r>
      <w:proofErr w:type="gramStart"/>
      <w:r>
        <w:t>based;</w:t>
      </w:r>
      <w:proofErr w:type="gramEnd"/>
      <w:r>
        <w:t xml:space="preserve"> </w:t>
      </w:r>
    </w:p>
    <w:p w14:paraId="0244CE58" w14:textId="77777777" w:rsidR="00927482" w:rsidRDefault="00927482" w:rsidP="000B15E6">
      <w:pPr>
        <w:shd w:val="clear" w:color="auto" w:fill="FFFFFF"/>
        <w:ind w:left="1440"/>
        <w:textAlignment w:val="baseline"/>
      </w:pPr>
    </w:p>
    <w:p w14:paraId="4E023DA8" w14:textId="1515BA39" w:rsidR="000B15E6" w:rsidRDefault="000B15E6" w:rsidP="000B15E6">
      <w:pPr>
        <w:shd w:val="clear" w:color="auto" w:fill="FFFFFF"/>
        <w:ind w:left="1440"/>
        <w:textAlignment w:val="baseline"/>
      </w:pPr>
      <w:r>
        <w:t>(ii)</w:t>
      </w:r>
      <w:r w:rsidR="00CC2548">
        <w:tab/>
      </w:r>
      <w:r>
        <w:t xml:space="preserve">The identity of the third party that created and tabulated the rating; and </w:t>
      </w:r>
    </w:p>
    <w:p w14:paraId="0EA6FADF" w14:textId="77777777" w:rsidR="00927482" w:rsidRDefault="00927482" w:rsidP="000B15E6">
      <w:pPr>
        <w:shd w:val="clear" w:color="auto" w:fill="FFFFFF"/>
        <w:ind w:left="1440"/>
        <w:textAlignment w:val="baseline"/>
      </w:pPr>
    </w:p>
    <w:p w14:paraId="4704375D" w14:textId="0B8DBD10" w:rsidR="000B15E6" w:rsidRDefault="000B15E6" w:rsidP="003767ED">
      <w:pPr>
        <w:pStyle w:val="ListParagraph"/>
        <w:numPr>
          <w:ilvl w:val="0"/>
          <w:numId w:val="34"/>
        </w:numPr>
        <w:shd w:val="clear" w:color="auto" w:fill="FFFFFF"/>
        <w:textAlignment w:val="baseline"/>
      </w:pPr>
      <w:r>
        <w:t xml:space="preserve">If applicable, that compensation has been provided directly or indirectly by the adviser in connection with obtaining or using the third-party rating. </w:t>
      </w:r>
    </w:p>
    <w:p w14:paraId="07CCC2C1" w14:textId="0ED0D531" w:rsidR="000B15E6" w:rsidRDefault="000B15E6" w:rsidP="000B15E6">
      <w:pPr>
        <w:shd w:val="clear" w:color="auto" w:fill="FFFFFF"/>
        <w:textAlignment w:val="baseline"/>
      </w:pPr>
    </w:p>
    <w:p w14:paraId="2DBAEC9A" w14:textId="0F9473FD" w:rsidR="00697312" w:rsidRPr="006D26D8" w:rsidRDefault="00697312" w:rsidP="00763550">
      <w:pPr>
        <w:pStyle w:val="Heading2"/>
        <w:numPr>
          <w:ilvl w:val="0"/>
          <w:numId w:val="0"/>
        </w:numPr>
        <w:ind w:left="360" w:hanging="360"/>
        <w:rPr>
          <w:u w:val="single"/>
        </w:rPr>
      </w:pPr>
      <w:r>
        <w:rPr>
          <w:u w:val="single"/>
        </w:rPr>
        <w:t>Performance Advertising</w:t>
      </w:r>
    </w:p>
    <w:p w14:paraId="56379779" w14:textId="77777777" w:rsidR="00697312" w:rsidRDefault="00697312" w:rsidP="000B15E6">
      <w:pPr>
        <w:shd w:val="clear" w:color="auto" w:fill="FFFFFF"/>
        <w:textAlignment w:val="baseline"/>
      </w:pPr>
    </w:p>
    <w:p w14:paraId="55582307" w14:textId="525C0542" w:rsidR="000B15E6" w:rsidRDefault="000B15E6" w:rsidP="000B15E6">
      <w:pPr>
        <w:shd w:val="clear" w:color="auto" w:fill="FFFFFF"/>
        <w:textAlignment w:val="baseline"/>
      </w:pPr>
      <w:r>
        <w:t>An investment adviser may not include in any advertisement:</w:t>
      </w:r>
    </w:p>
    <w:p w14:paraId="2F428C6B" w14:textId="77777777" w:rsidR="00C32E03" w:rsidRDefault="00C32E03" w:rsidP="000B15E6">
      <w:pPr>
        <w:shd w:val="clear" w:color="auto" w:fill="FFFFFF"/>
        <w:textAlignment w:val="baseline"/>
      </w:pPr>
    </w:p>
    <w:p w14:paraId="6EA8BF78" w14:textId="6B39474B" w:rsidR="00C32E03" w:rsidRDefault="000B15E6" w:rsidP="00C32E03">
      <w:pPr>
        <w:shd w:val="clear" w:color="auto" w:fill="FFFFFF"/>
        <w:ind w:left="1440" w:hanging="720"/>
        <w:textAlignment w:val="baseline"/>
      </w:pPr>
      <w:r>
        <w:lastRenderedPageBreak/>
        <w:t xml:space="preserve">(1) </w:t>
      </w:r>
      <w:r w:rsidR="00C32E03">
        <w:tab/>
      </w:r>
      <w:r>
        <w:t>Any presentation of gross performance, unless the advertisement also presents net performance:</w:t>
      </w:r>
    </w:p>
    <w:p w14:paraId="3144B73C" w14:textId="2711BDBD" w:rsidR="000B15E6" w:rsidRDefault="000B15E6" w:rsidP="000B15E6">
      <w:pPr>
        <w:shd w:val="clear" w:color="auto" w:fill="FFFFFF"/>
        <w:ind w:left="720"/>
        <w:textAlignment w:val="baseline"/>
      </w:pPr>
      <w:r>
        <w:t xml:space="preserve"> </w:t>
      </w:r>
    </w:p>
    <w:p w14:paraId="34363DA8" w14:textId="709E9989" w:rsidR="000B15E6" w:rsidRDefault="000B15E6" w:rsidP="006A0D0A">
      <w:pPr>
        <w:shd w:val="clear" w:color="auto" w:fill="FFFFFF"/>
        <w:ind w:left="2160" w:hanging="720"/>
        <w:textAlignment w:val="baseline"/>
      </w:pPr>
      <w:r>
        <w:t>(</w:t>
      </w:r>
      <w:proofErr w:type="spellStart"/>
      <w:r>
        <w:t>i</w:t>
      </w:r>
      <w:proofErr w:type="spellEnd"/>
      <w:r>
        <w:t xml:space="preserve">) </w:t>
      </w:r>
      <w:r w:rsidR="006A0D0A">
        <w:tab/>
      </w:r>
      <w:r>
        <w:t>With at least equal prominence to, and in a format designed to facilitate comparison with, the gross performance; and</w:t>
      </w:r>
    </w:p>
    <w:p w14:paraId="0A29AF93" w14:textId="77777777" w:rsidR="00C32E03" w:rsidRDefault="00C32E03" w:rsidP="000B15E6">
      <w:pPr>
        <w:shd w:val="clear" w:color="auto" w:fill="FFFFFF"/>
        <w:ind w:left="1440"/>
        <w:textAlignment w:val="baseline"/>
      </w:pPr>
    </w:p>
    <w:p w14:paraId="1FE82D1A" w14:textId="5600B8C1" w:rsidR="000B15E6" w:rsidRDefault="000B15E6" w:rsidP="006A0D0A">
      <w:pPr>
        <w:shd w:val="clear" w:color="auto" w:fill="FFFFFF"/>
        <w:ind w:left="2160" w:hanging="720"/>
        <w:textAlignment w:val="baseline"/>
      </w:pPr>
      <w:r>
        <w:t xml:space="preserve">(ii) </w:t>
      </w:r>
      <w:r w:rsidR="006A0D0A">
        <w:tab/>
      </w:r>
      <w:r>
        <w:t xml:space="preserve">Calculated over the same </w:t>
      </w:r>
      <w:proofErr w:type="gramStart"/>
      <w:r>
        <w:t>time period</w:t>
      </w:r>
      <w:proofErr w:type="gramEnd"/>
      <w:r>
        <w:t>, and using the same type of return and methodology, as the gross performance.</w:t>
      </w:r>
    </w:p>
    <w:p w14:paraId="3DE34392" w14:textId="77777777" w:rsidR="00C32E03" w:rsidRDefault="00C32E03" w:rsidP="000B15E6">
      <w:pPr>
        <w:shd w:val="clear" w:color="auto" w:fill="FFFFFF"/>
        <w:ind w:left="1440"/>
        <w:textAlignment w:val="baseline"/>
      </w:pPr>
    </w:p>
    <w:p w14:paraId="2916F478" w14:textId="34E6FFA0" w:rsidR="000B15E6" w:rsidRDefault="000B15E6" w:rsidP="006A0D0A">
      <w:pPr>
        <w:shd w:val="clear" w:color="auto" w:fill="FFFFFF"/>
        <w:ind w:left="1440" w:hanging="720"/>
        <w:textAlignment w:val="baseline"/>
      </w:pPr>
      <w:r>
        <w:t xml:space="preserve">(2) </w:t>
      </w:r>
      <w:r w:rsidR="006A0D0A">
        <w:tab/>
      </w:r>
      <w:r>
        <w:t xml:space="preserve">Any performance results, of any portfolio or any composite aggregation of related portfolios, in each case other than any private fund, unless the advertisement includes performance results of the same portfolio or composite aggregation for one-, five-, and ten-year periods, each presented with equal prominence and ending on a date that is no less recent than the most recent calendar year-end; except that if the relevant portfolio did not exist for a particular prescribed period, then the life of the portfolio must be substituted for that period. </w:t>
      </w:r>
    </w:p>
    <w:p w14:paraId="26C0B9C7" w14:textId="77777777" w:rsidR="00C32E03" w:rsidRDefault="00C32E03" w:rsidP="000B15E6">
      <w:pPr>
        <w:shd w:val="clear" w:color="auto" w:fill="FFFFFF"/>
        <w:ind w:left="720"/>
        <w:textAlignment w:val="baseline"/>
      </w:pPr>
    </w:p>
    <w:p w14:paraId="70AD7802" w14:textId="1CDA1CA0" w:rsidR="000B15E6" w:rsidRDefault="000B15E6" w:rsidP="006A0D0A">
      <w:pPr>
        <w:shd w:val="clear" w:color="auto" w:fill="FFFFFF"/>
        <w:ind w:left="1440" w:hanging="720"/>
        <w:textAlignment w:val="baseline"/>
      </w:pPr>
      <w:r>
        <w:t xml:space="preserve">(3) </w:t>
      </w:r>
      <w:r w:rsidR="006A0D0A">
        <w:tab/>
      </w:r>
      <w:r>
        <w:t xml:space="preserve">Any statement, express or implied, that the calculation or presentation of performance results in the advertisement has been approved or reviewed by the Commission. </w:t>
      </w:r>
    </w:p>
    <w:p w14:paraId="0B684DE2" w14:textId="77777777" w:rsidR="00C32E03" w:rsidRDefault="00C32E03" w:rsidP="000B15E6">
      <w:pPr>
        <w:shd w:val="clear" w:color="auto" w:fill="FFFFFF"/>
        <w:ind w:left="720"/>
        <w:textAlignment w:val="baseline"/>
      </w:pPr>
    </w:p>
    <w:p w14:paraId="49E1CB74" w14:textId="10958D53" w:rsidR="000B15E6" w:rsidRDefault="000B15E6" w:rsidP="006A0D0A">
      <w:pPr>
        <w:pStyle w:val="ListParagraph"/>
        <w:numPr>
          <w:ilvl w:val="0"/>
          <w:numId w:val="42"/>
        </w:numPr>
        <w:shd w:val="clear" w:color="auto" w:fill="FFFFFF"/>
        <w:ind w:left="1440" w:hanging="720"/>
        <w:textAlignment w:val="baseline"/>
      </w:pPr>
      <w:r>
        <w:t xml:space="preserve">Any related performance, unless it includes all related </w:t>
      </w:r>
      <w:proofErr w:type="gramStart"/>
      <w:r>
        <w:t>portfolios;</w:t>
      </w:r>
      <w:proofErr w:type="gramEnd"/>
      <w:r>
        <w:t xml:space="preserve"> provided that related performance may exclude any related portfolios if:</w:t>
      </w:r>
    </w:p>
    <w:p w14:paraId="651C7A88" w14:textId="77777777" w:rsidR="00C32E03" w:rsidRDefault="00C32E03" w:rsidP="00C32E03">
      <w:pPr>
        <w:pStyle w:val="ListParagraph"/>
        <w:shd w:val="clear" w:color="auto" w:fill="FFFFFF"/>
        <w:ind w:left="1080"/>
        <w:textAlignment w:val="baseline"/>
      </w:pPr>
    </w:p>
    <w:p w14:paraId="7646FC2D" w14:textId="3007BF39" w:rsidR="000B15E6" w:rsidRDefault="000B15E6" w:rsidP="006A0D0A">
      <w:pPr>
        <w:shd w:val="clear" w:color="auto" w:fill="FFFFFF"/>
        <w:ind w:left="2160" w:hanging="720"/>
        <w:textAlignment w:val="baseline"/>
      </w:pPr>
      <w:r>
        <w:t>(</w:t>
      </w:r>
      <w:proofErr w:type="spellStart"/>
      <w:r>
        <w:t>i</w:t>
      </w:r>
      <w:proofErr w:type="spellEnd"/>
      <w:r>
        <w:t xml:space="preserve">) </w:t>
      </w:r>
      <w:r w:rsidR="006A0D0A">
        <w:tab/>
      </w:r>
      <w:r>
        <w:t>The advertised performance results are not materially higher than if all related portfolios had been included; and</w:t>
      </w:r>
    </w:p>
    <w:p w14:paraId="1A612BA1" w14:textId="77777777" w:rsidR="00C32E03" w:rsidRDefault="00C32E03" w:rsidP="000B15E6">
      <w:pPr>
        <w:shd w:val="clear" w:color="auto" w:fill="FFFFFF"/>
        <w:ind w:left="1440"/>
        <w:textAlignment w:val="baseline"/>
      </w:pPr>
    </w:p>
    <w:p w14:paraId="1C453ECA" w14:textId="736F2901" w:rsidR="000B15E6" w:rsidRDefault="000B15E6" w:rsidP="006A0D0A">
      <w:pPr>
        <w:shd w:val="clear" w:color="auto" w:fill="FFFFFF"/>
        <w:ind w:left="2160" w:hanging="720"/>
        <w:textAlignment w:val="baseline"/>
      </w:pPr>
      <w:r>
        <w:t>(ii)</w:t>
      </w:r>
      <w:r w:rsidR="006A0D0A">
        <w:tab/>
      </w:r>
      <w:r>
        <w:t xml:space="preserve">The exclusion of any related portfolio does not alter the presentation of any applicable time periods prescribed by paragraph (2) of this section. </w:t>
      </w:r>
    </w:p>
    <w:p w14:paraId="4B7C9684" w14:textId="77777777" w:rsidR="00C32E03" w:rsidRDefault="00C32E03" w:rsidP="000B15E6">
      <w:pPr>
        <w:shd w:val="clear" w:color="auto" w:fill="FFFFFF"/>
        <w:ind w:left="720"/>
        <w:textAlignment w:val="baseline"/>
      </w:pPr>
    </w:p>
    <w:p w14:paraId="2786895A" w14:textId="6B3FC32E" w:rsidR="000B15E6" w:rsidRDefault="000B15E6" w:rsidP="006A0D0A">
      <w:pPr>
        <w:shd w:val="clear" w:color="auto" w:fill="FFFFFF"/>
        <w:ind w:left="1440" w:hanging="720"/>
        <w:textAlignment w:val="baseline"/>
      </w:pPr>
      <w:r>
        <w:t xml:space="preserve">(5) </w:t>
      </w:r>
      <w:r w:rsidR="006A0D0A">
        <w:tab/>
      </w:r>
      <w:r>
        <w:t xml:space="preserve">Any extracted performance, unless the advertisement provides, or offers to provide promptly, the performance results of the total portfolio from which the performance was extracted. </w:t>
      </w:r>
    </w:p>
    <w:p w14:paraId="7A587F70" w14:textId="77777777" w:rsidR="00C32E03" w:rsidRDefault="00C32E03" w:rsidP="000B15E6">
      <w:pPr>
        <w:shd w:val="clear" w:color="auto" w:fill="FFFFFF"/>
        <w:ind w:left="720"/>
        <w:textAlignment w:val="baseline"/>
      </w:pPr>
    </w:p>
    <w:p w14:paraId="6F4FFD7C" w14:textId="01CD8572" w:rsidR="000B15E6" w:rsidRDefault="000B15E6" w:rsidP="00CC4339">
      <w:pPr>
        <w:pStyle w:val="ListParagraph"/>
        <w:numPr>
          <w:ilvl w:val="0"/>
          <w:numId w:val="43"/>
        </w:numPr>
        <w:shd w:val="clear" w:color="auto" w:fill="FFFFFF"/>
        <w:ind w:left="1440" w:hanging="720"/>
        <w:textAlignment w:val="baseline"/>
      </w:pPr>
      <w:r>
        <w:t>Any hypothetical performance unless the investment adviser:</w:t>
      </w:r>
    </w:p>
    <w:p w14:paraId="326257C2" w14:textId="77777777" w:rsidR="00C32E03" w:rsidRDefault="00C32E03" w:rsidP="00C32E03">
      <w:pPr>
        <w:pStyle w:val="ListParagraph"/>
        <w:shd w:val="clear" w:color="auto" w:fill="FFFFFF"/>
        <w:ind w:left="1080"/>
        <w:textAlignment w:val="baseline"/>
      </w:pPr>
    </w:p>
    <w:p w14:paraId="6ABC7C4C" w14:textId="75DE9A52" w:rsidR="000B15E6" w:rsidRDefault="000B15E6" w:rsidP="00CC4339">
      <w:pPr>
        <w:shd w:val="clear" w:color="auto" w:fill="FFFFFF"/>
        <w:ind w:left="2160" w:hanging="720"/>
        <w:textAlignment w:val="baseline"/>
      </w:pPr>
      <w:r>
        <w:t>(</w:t>
      </w:r>
      <w:proofErr w:type="spellStart"/>
      <w:r>
        <w:t>i</w:t>
      </w:r>
      <w:proofErr w:type="spellEnd"/>
      <w:r>
        <w:t xml:space="preserve">) </w:t>
      </w:r>
      <w:r w:rsidR="00CC4339">
        <w:tab/>
      </w:r>
      <w:r>
        <w:t>Adopts and implements policies and procedures reasonably designed to ensure that the hypothetical performance is relevant to the likely financial situation and investment objectives of the intended audience of the advertisement,</w:t>
      </w:r>
    </w:p>
    <w:p w14:paraId="7E330DA4" w14:textId="77777777" w:rsidR="00C32E03" w:rsidRDefault="00C32E03" w:rsidP="000B15E6">
      <w:pPr>
        <w:shd w:val="clear" w:color="auto" w:fill="FFFFFF"/>
        <w:ind w:left="1440"/>
        <w:textAlignment w:val="baseline"/>
      </w:pPr>
    </w:p>
    <w:p w14:paraId="5BF9725C" w14:textId="13BE3DBC" w:rsidR="000B15E6" w:rsidRDefault="000B15E6" w:rsidP="00CC4339">
      <w:pPr>
        <w:shd w:val="clear" w:color="auto" w:fill="FFFFFF"/>
        <w:ind w:left="2160" w:hanging="720"/>
        <w:textAlignment w:val="baseline"/>
      </w:pPr>
      <w:r>
        <w:t xml:space="preserve">(ii) </w:t>
      </w:r>
      <w:r w:rsidR="00CC4339">
        <w:tab/>
      </w:r>
      <w:r>
        <w:t>Provides sufficient information to enable the intended audience to understand the criteria used and assumptions made in calculating such hypothetical performance, and</w:t>
      </w:r>
    </w:p>
    <w:p w14:paraId="0A71AF17" w14:textId="77777777" w:rsidR="00C32E03" w:rsidRDefault="00C32E03" w:rsidP="000B15E6">
      <w:pPr>
        <w:shd w:val="clear" w:color="auto" w:fill="FFFFFF"/>
        <w:ind w:left="1440"/>
        <w:textAlignment w:val="baseline"/>
      </w:pPr>
    </w:p>
    <w:p w14:paraId="0BA50BD7" w14:textId="1DBE3A24" w:rsidR="000B15E6" w:rsidRDefault="000B15E6" w:rsidP="00CC4339">
      <w:pPr>
        <w:shd w:val="clear" w:color="auto" w:fill="FFFFFF"/>
        <w:ind w:left="2160" w:hanging="720"/>
        <w:textAlignment w:val="baseline"/>
      </w:pPr>
      <w:r>
        <w:t xml:space="preserve">(iii) </w:t>
      </w:r>
      <w:r w:rsidR="00CC4339">
        <w:tab/>
      </w:r>
      <w:r>
        <w:t xml:space="preserve">Provides (or, if the intended audience is an investor in a private fund </w:t>
      </w:r>
      <w:proofErr w:type="gramStart"/>
      <w:r>
        <w:t>provides, or</w:t>
      </w:r>
      <w:proofErr w:type="gramEnd"/>
      <w:r>
        <w:t xml:space="preserve"> offers to provide promptly) sufficient information to enable the intended audience to understand the risks and limitations of using such hypothetical performance in making investment decisions; Provided that the investment </w:t>
      </w:r>
      <w:r>
        <w:lastRenderedPageBreak/>
        <w:t xml:space="preserve">adviser need not comply with the other conditions on performance in paragraphs (2), (4), and (5) of this section. </w:t>
      </w:r>
    </w:p>
    <w:p w14:paraId="049C5646" w14:textId="77777777" w:rsidR="00C32E03" w:rsidRDefault="00C32E03" w:rsidP="000B15E6">
      <w:pPr>
        <w:shd w:val="clear" w:color="auto" w:fill="FFFFFF"/>
        <w:ind w:left="720"/>
        <w:textAlignment w:val="baseline"/>
      </w:pPr>
    </w:p>
    <w:p w14:paraId="55C3F778" w14:textId="295EB3FA" w:rsidR="000B15E6" w:rsidRDefault="000B15E6" w:rsidP="00CC4339">
      <w:pPr>
        <w:pStyle w:val="ListParagraph"/>
        <w:numPr>
          <w:ilvl w:val="0"/>
          <w:numId w:val="43"/>
        </w:numPr>
        <w:shd w:val="clear" w:color="auto" w:fill="FFFFFF"/>
        <w:textAlignment w:val="baseline"/>
      </w:pPr>
      <w:r>
        <w:t>Any predecessor performance unless:</w:t>
      </w:r>
    </w:p>
    <w:p w14:paraId="01C2CDD2" w14:textId="77777777" w:rsidR="00C32E03" w:rsidRDefault="00C32E03" w:rsidP="00C32E03">
      <w:pPr>
        <w:pStyle w:val="ListParagraph"/>
        <w:shd w:val="clear" w:color="auto" w:fill="FFFFFF"/>
        <w:ind w:left="1080"/>
        <w:textAlignment w:val="baseline"/>
      </w:pPr>
    </w:p>
    <w:p w14:paraId="59F9918E" w14:textId="466AFFC1" w:rsidR="000B15E6" w:rsidRDefault="000B15E6" w:rsidP="00CC4339">
      <w:pPr>
        <w:shd w:val="clear" w:color="auto" w:fill="FFFFFF"/>
        <w:ind w:left="2160" w:hanging="720"/>
        <w:textAlignment w:val="baseline"/>
      </w:pPr>
      <w:r>
        <w:t>(</w:t>
      </w:r>
      <w:proofErr w:type="spellStart"/>
      <w:r>
        <w:t>i</w:t>
      </w:r>
      <w:proofErr w:type="spellEnd"/>
      <w:r>
        <w:t xml:space="preserve">) </w:t>
      </w:r>
      <w:r w:rsidR="00CC4339">
        <w:tab/>
      </w:r>
      <w:r>
        <w:t xml:space="preserve">The person or persons who were primarily responsible for achieving the prior performance results manage accounts at the advertising </w:t>
      </w:r>
      <w:proofErr w:type="gramStart"/>
      <w:r>
        <w:t>adviser;</w:t>
      </w:r>
      <w:proofErr w:type="gramEnd"/>
    </w:p>
    <w:p w14:paraId="02D3F755" w14:textId="77777777" w:rsidR="00C32E03" w:rsidRDefault="00C32E03" w:rsidP="000B15E6">
      <w:pPr>
        <w:shd w:val="clear" w:color="auto" w:fill="FFFFFF"/>
        <w:ind w:left="1440"/>
        <w:textAlignment w:val="baseline"/>
      </w:pPr>
    </w:p>
    <w:p w14:paraId="5651E20E" w14:textId="4E249B13" w:rsidR="000B15E6" w:rsidRDefault="000B15E6" w:rsidP="00CC4339">
      <w:pPr>
        <w:shd w:val="clear" w:color="auto" w:fill="FFFFFF"/>
        <w:ind w:left="2160" w:hanging="720"/>
        <w:textAlignment w:val="baseline"/>
      </w:pPr>
      <w:r>
        <w:t xml:space="preserve">(ii) </w:t>
      </w:r>
      <w:r w:rsidR="00CC4339">
        <w:tab/>
      </w:r>
      <w:r>
        <w:t xml:space="preserve">The accounts managed at the predecessor investment adviser are sufficiently similar to the accounts managed at the advertising investment adviser that the performance results would provide relevant information to clients or </w:t>
      </w:r>
      <w:proofErr w:type="gramStart"/>
      <w:r>
        <w:t>investors;</w:t>
      </w:r>
      <w:proofErr w:type="gramEnd"/>
    </w:p>
    <w:p w14:paraId="14A88030" w14:textId="77777777" w:rsidR="00C32E03" w:rsidRDefault="00C32E03" w:rsidP="00CC4339">
      <w:pPr>
        <w:shd w:val="clear" w:color="auto" w:fill="FFFFFF"/>
        <w:ind w:left="2160" w:hanging="720"/>
        <w:textAlignment w:val="baseline"/>
      </w:pPr>
    </w:p>
    <w:p w14:paraId="1E5A1B63" w14:textId="188C26EE" w:rsidR="000B15E6" w:rsidRDefault="000B15E6" w:rsidP="00CC4339">
      <w:pPr>
        <w:shd w:val="clear" w:color="auto" w:fill="FFFFFF"/>
        <w:ind w:left="2160" w:hanging="720"/>
        <w:textAlignment w:val="baseline"/>
      </w:pPr>
      <w:r>
        <w:t xml:space="preserve">(iii) </w:t>
      </w:r>
      <w:r w:rsidR="00CC4339">
        <w:tab/>
      </w:r>
      <w:r>
        <w:t>All accounts that were managed in a substantially similar manner are advertised unless the exclusion of any such account would not result in materially higher performance and the exclusion of any account does not alter the presentation of any applicable time periods prescribed in paragraph (2) of this section; and</w:t>
      </w:r>
    </w:p>
    <w:p w14:paraId="257D8074" w14:textId="77777777" w:rsidR="00C32E03" w:rsidRDefault="00C32E03" w:rsidP="00CC4339">
      <w:pPr>
        <w:shd w:val="clear" w:color="auto" w:fill="FFFFFF"/>
        <w:ind w:left="2160" w:hanging="720"/>
        <w:textAlignment w:val="baseline"/>
      </w:pPr>
    </w:p>
    <w:p w14:paraId="01D978D0" w14:textId="4C7DF049" w:rsidR="000B15E6" w:rsidRDefault="000B15E6" w:rsidP="00CC4339">
      <w:pPr>
        <w:shd w:val="clear" w:color="auto" w:fill="FFFFFF"/>
        <w:ind w:left="2160" w:hanging="720"/>
        <w:textAlignment w:val="baseline"/>
      </w:pPr>
      <w:r>
        <w:t xml:space="preserve">(iv) </w:t>
      </w:r>
      <w:r w:rsidR="00CC4339">
        <w:tab/>
      </w:r>
      <w:r>
        <w:t xml:space="preserve">The advertisement clearly and prominently includes all relevant disclosures, including that the performance results were from accounts managed at another entity. </w:t>
      </w:r>
    </w:p>
    <w:p w14:paraId="620FAABE" w14:textId="77777777" w:rsidR="000B15E6" w:rsidRDefault="000B15E6" w:rsidP="000B15E6">
      <w:pPr>
        <w:shd w:val="clear" w:color="auto" w:fill="FFFFFF"/>
        <w:textAlignment w:val="baseline"/>
      </w:pPr>
    </w:p>
    <w:p w14:paraId="36CAB660" w14:textId="16906033" w:rsidR="001946F7" w:rsidRPr="003B2B28" w:rsidRDefault="001946F7" w:rsidP="003B5B5B">
      <w:pPr>
        <w:pStyle w:val="Heading2"/>
        <w:numPr>
          <w:ilvl w:val="0"/>
          <w:numId w:val="0"/>
        </w:numPr>
        <w:ind w:left="360" w:hanging="360"/>
        <w:rPr>
          <w:u w:val="single"/>
        </w:rPr>
      </w:pPr>
      <w:r w:rsidRPr="003B2B28">
        <w:rPr>
          <w:u w:val="single"/>
        </w:rPr>
        <w:t>Policies</w:t>
      </w:r>
      <w:r w:rsidR="00890E13">
        <w:rPr>
          <w:u w:val="single"/>
        </w:rPr>
        <w:t xml:space="preserve"> &amp; Procedures</w:t>
      </w:r>
    </w:p>
    <w:p w14:paraId="19C35792" w14:textId="247B723D" w:rsidR="001946F7" w:rsidRDefault="001946F7" w:rsidP="003B2B28">
      <w:pPr>
        <w:keepNext/>
      </w:pPr>
    </w:p>
    <w:p w14:paraId="2EDA45FC" w14:textId="020C7D9F" w:rsidR="003B2B28" w:rsidRDefault="003B2B28" w:rsidP="003B2B28">
      <w:pPr>
        <w:keepNext/>
        <w:ind w:firstLine="360"/>
      </w:pPr>
      <w:r>
        <w:t>General Procedures:</w:t>
      </w:r>
    </w:p>
    <w:p w14:paraId="343BDF14" w14:textId="77777777" w:rsidR="003B2B28" w:rsidRPr="006A254D" w:rsidRDefault="003B2B28" w:rsidP="003B2B28">
      <w:pPr>
        <w:keepNext/>
      </w:pPr>
    </w:p>
    <w:p w14:paraId="07961FAB" w14:textId="3D493D0D" w:rsidR="00851CA7" w:rsidRDefault="00596C64" w:rsidP="0082767C">
      <w:pPr>
        <w:numPr>
          <w:ilvl w:val="0"/>
          <w:numId w:val="7"/>
        </w:numPr>
      </w:pPr>
      <w:r>
        <w:t xml:space="preserve">XYZ applies a broader interpretation of </w:t>
      </w:r>
      <w:r w:rsidR="008848A1">
        <w:t xml:space="preserve">what constitutes advertising or marketing specifically to avoid having staff make this determination.  </w:t>
      </w:r>
      <w:r w:rsidR="008878A4">
        <w:t xml:space="preserve">Thus, most any </w:t>
      </w:r>
      <w:r w:rsidR="00B943AE">
        <w:t xml:space="preserve">business-related </w:t>
      </w:r>
      <w:r w:rsidR="008878A4">
        <w:t>communication, regardless of medium, and whether direct or indirect</w:t>
      </w:r>
      <w:r w:rsidR="00B943AE">
        <w:t>, is subject to these policies and procedures.</w:t>
      </w:r>
    </w:p>
    <w:p w14:paraId="3DB7F51D" w14:textId="77777777" w:rsidR="00143FC6" w:rsidRDefault="00143FC6" w:rsidP="00143FC6">
      <w:pPr>
        <w:ind w:left="720"/>
      </w:pPr>
    </w:p>
    <w:p w14:paraId="6D3CF35D" w14:textId="2EE0F7FB" w:rsidR="0082767C" w:rsidRPr="00350FF1" w:rsidRDefault="0082767C" w:rsidP="0082767C">
      <w:pPr>
        <w:numPr>
          <w:ilvl w:val="0"/>
          <w:numId w:val="7"/>
        </w:numPr>
      </w:pPr>
      <w:r w:rsidRPr="00350FF1">
        <w:t xml:space="preserve">All </w:t>
      </w:r>
      <w:r w:rsidR="004D0E7C" w:rsidRPr="00350FF1">
        <w:t>marketing</w:t>
      </w:r>
      <w:r w:rsidRPr="00350FF1">
        <w:t xml:space="preserve"> materials must be submitted to the CCO or another knowledgeable individual for approval prior to use. Final approval must come from the CCO or the CCO’s delegee.</w:t>
      </w:r>
      <w:r w:rsidR="003F1DB5" w:rsidRPr="00350FF1">
        <w:t xml:space="preserve">  &lt;preapproval is not required by is an industry best practice&gt;</w:t>
      </w:r>
    </w:p>
    <w:p w14:paraId="6CD52C02" w14:textId="77777777" w:rsidR="003F7B88" w:rsidRPr="00350FF1" w:rsidRDefault="003F7B88" w:rsidP="003F7B88">
      <w:pPr>
        <w:pStyle w:val="ListParagraph"/>
      </w:pPr>
    </w:p>
    <w:p w14:paraId="20F4DD29" w14:textId="28958740" w:rsidR="003F7B88" w:rsidRDefault="00A72ADE" w:rsidP="0082767C">
      <w:pPr>
        <w:numPr>
          <w:ilvl w:val="0"/>
          <w:numId w:val="7"/>
        </w:numPr>
      </w:pPr>
      <w:r>
        <w:t>Staff</w:t>
      </w:r>
      <w:r w:rsidR="003F7B88" w:rsidRPr="00350FF1">
        <w:t xml:space="preserve"> must be cognizant of </w:t>
      </w:r>
      <w:r w:rsidR="0028599D" w:rsidRPr="00350FF1">
        <w:t>indirectly or inadvertently implicating the rule via adoption or entanglement of third-party content such as a re-tweet</w:t>
      </w:r>
      <w:r w:rsidR="00962E06" w:rsidRPr="00350FF1">
        <w:t>.  See definition of “</w:t>
      </w:r>
      <w:r w:rsidR="00962E06" w:rsidRPr="00EE2C64">
        <w:rPr>
          <w:i/>
          <w:iCs/>
        </w:rPr>
        <w:t>third-party content</w:t>
      </w:r>
      <w:r w:rsidR="00962E06" w:rsidRPr="00350FF1">
        <w:t>” above.</w:t>
      </w:r>
    </w:p>
    <w:p w14:paraId="4D81FE9D" w14:textId="77777777" w:rsidR="0033401D" w:rsidRDefault="0033401D" w:rsidP="0033401D">
      <w:pPr>
        <w:pStyle w:val="ListParagraph"/>
      </w:pPr>
    </w:p>
    <w:p w14:paraId="17770EDD" w14:textId="0F1B47ED" w:rsidR="0033401D" w:rsidRPr="00350FF1" w:rsidRDefault="00A72ADE" w:rsidP="0082767C">
      <w:pPr>
        <w:numPr>
          <w:ilvl w:val="0"/>
          <w:numId w:val="7"/>
        </w:numPr>
      </w:pPr>
      <w:r>
        <w:t xml:space="preserve">Staff are prohibited from disseminating marketing materials on personal </w:t>
      </w:r>
      <w:r w:rsidR="00AE04FD">
        <w:t>social media accounts or any other method not approved by the firm.</w:t>
      </w:r>
    </w:p>
    <w:p w14:paraId="22ADA0B5" w14:textId="77777777" w:rsidR="00C25ABE" w:rsidRPr="00350FF1" w:rsidRDefault="00C25ABE" w:rsidP="00C25ABE">
      <w:pPr>
        <w:pStyle w:val="ListParagraph"/>
      </w:pPr>
    </w:p>
    <w:p w14:paraId="2CC65EAB" w14:textId="6E7195DF" w:rsidR="004D0E7C" w:rsidRPr="00350FF1" w:rsidRDefault="004D0E7C" w:rsidP="0082767C">
      <w:pPr>
        <w:numPr>
          <w:ilvl w:val="0"/>
          <w:numId w:val="7"/>
        </w:numPr>
      </w:pPr>
      <w:r w:rsidRPr="00350FF1">
        <w:t>At a minimum each mar</w:t>
      </w:r>
      <w:r w:rsidR="005936A1" w:rsidRPr="00350FF1">
        <w:t xml:space="preserve">keting piece must disclose, “Advisory </w:t>
      </w:r>
      <w:r w:rsidR="00065CFC" w:rsidRPr="00350FF1">
        <w:t>s</w:t>
      </w:r>
      <w:r w:rsidR="005936A1" w:rsidRPr="00350FF1">
        <w:t>ervices offered through XYZ</w:t>
      </w:r>
      <w:r w:rsidR="00065CFC" w:rsidRPr="00350FF1">
        <w:t>, an investment adviser registered with the U.S. Securities &amp; Exchange Commission</w:t>
      </w:r>
      <w:r w:rsidR="00B97A48" w:rsidRPr="00350FF1">
        <w:t>.”  Additional disclosure may be required depending on facts and circumstances.</w:t>
      </w:r>
      <w:r w:rsidR="00C5150D">
        <w:t xml:space="preserve">  </w:t>
      </w:r>
      <w:r w:rsidR="00203DAE">
        <w:t>Note: Rule 206(4)-1 explicitly requires clear and prominent disclosure</w:t>
      </w:r>
      <w:r w:rsidR="00CC1D6B">
        <w:t xml:space="preserve"> for testimonials, endorsements, third-party </w:t>
      </w:r>
      <w:proofErr w:type="gramStart"/>
      <w:r w:rsidR="00CC1D6B">
        <w:t>ratings</w:t>
      </w:r>
      <w:proofErr w:type="gramEnd"/>
      <w:r w:rsidR="00CC1D6B">
        <w:t xml:space="preserve"> and </w:t>
      </w:r>
      <w:r w:rsidR="00E05563">
        <w:t xml:space="preserve">predecessor performance.  </w:t>
      </w:r>
      <w:r w:rsidR="003518DE">
        <w:t>XYZ requires clear and prominent disclosure when advertising hypothetical performance.  &lt;delete as necessary&gt;</w:t>
      </w:r>
    </w:p>
    <w:p w14:paraId="5F64538E" w14:textId="77777777" w:rsidR="003F1DB5" w:rsidRPr="00350FF1" w:rsidRDefault="003F1DB5" w:rsidP="003F1DB5">
      <w:pPr>
        <w:pStyle w:val="ListParagraph"/>
      </w:pPr>
    </w:p>
    <w:p w14:paraId="37DE158A" w14:textId="4534941A" w:rsidR="006110A8" w:rsidRPr="00350FF1" w:rsidRDefault="00E04EBF" w:rsidP="006110A8">
      <w:pPr>
        <w:numPr>
          <w:ilvl w:val="0"/>
          <w:numId w:val="7"/>
        </w:numPr>
      </w:pPr>
      <w:r w:rsidRPr="00350FF1">
        <w:lastRenderedPageBreak/>
        <w:t xml:space="preserve">All </w:t>
      </w:r>
      <w:r w:rsidR="004D0E7C" w:rsidRPr="00350FF1">
        <w:t>marketing material</w:t>
      </w:r>
      <w:r w:rsidR="00BA5D29" w:rsidRPr="00350FF1">
        <w:t xml:space="preserve"> must comply with the seven general prohibitions of Rule 206(4)-1</w:t>
      </w:r>
      <w:r w:rsidR="006110A8" w:rsidRPr="00350FF1">
        <w:t xml:space="preserve"> listed above.</w:t>
      </w:r>
      <w:r w:rsidR="00722A51">
        <w:t xml:space="preserve">  Notes:  these are principles-based and intentionally broad.</w:t>
      </w:r>
    </w:p>
    <w:p w14:paraId="6A9661B0" w14:textId="77777777" w:rsidR="00DB622A" w:rsidRPr="00350FF1" w:rsidRDefault="00DB622A" w:rsidP="00DB622A">
      <w:pPr>
        <w:pStyle w:val="ListParagraph"/>
      </w:pPr>
    </w:p>
    <w:p w14:paraId="3744EF20" w14:textId="2884CD69" w:rsidR="00DB622A" w:rsidRPr="00350FF1" w:rsidRDefault="00756A35" w:rsidP="006110A8">
      <w:pPr>
        <w:numPr>
          <w:ilvl w:val="0"/>
          <w:numId w:val="7"/>
        </w:numPr>
      </w:pPr>
      <w:r w:rsidRPr="00350FF1">
        <w:t xml:space="preserve">Any </w:t>
      </w:r>
      <w:r w:rsidR="007A1BBA" w:rsidRPr="00350FF1">
        <w:t xml:space="preserve">statement of fact must be substantiated either in the </w:t>
      </w:r>
      <w:r w:rsidR="00AD5883" w:rsidRPr="00350FF1">
        <w:t xml:space="preserve">marketing piece </w:t>
      </w:r>
      <w:r w:rsidR="006B0E53" w:rsidRPr="00350FF1">
        <w:t xml:space="preserve">(footnotes or endnotes) </w:t>
      </w:r>
      <w:r w:rsidR="00AD5883" w:rsidRPr="00350FF1">
        <w:t xml:space="preserve">or submitted </w:t>
      </w:r>
      <w:r w:rsidR="00363C93" w:rsidRPr="00350FF1">
        <w:t>as supplemental material along with the marketing piece</w:t>
      </w:r>
      <w:r w:rsidR="00CA4232" w:rsidRPr="00350FF1">
        <w:t xml:space="preserve">.  &lt;The SEC adopting release </w:t>
      </w:r>
      <w:proofErr w:type="gramStart"/>
      <w:r w:rsidR="00BA37B0" w:rsidRPr="00350FF1">
        <w:t>stated</w:t>
      </w:r>
      <w:proofErr w:type="gramEnd"/>
      <w:r w:rsidR="00196017" w:rsidRPr="00350FF1">
        <w:t xml:space="preserve"> </w:t>
      </w:r>
      <w:r w:rsidR="00837F59" w:rsidRPr="00350FF1">
        <w:t>“</w:t>
      </w:r>
      <w:r w:rsidR="00196017" w:rsidRPr="00350FF1">
        <w:t>the staff will presume than an investment adviser that is unable to substantiate material claims of fact upon demand did not have a reasonable basis to believe it could do so.”</w:t>
      </w:r>
      <w:r w:rsidR="003760CB" w:rsidRPr="00350FF1">
        <w:t xml:space="preserve"> (See General Prohibition #2 above)</w:t>
      </w:r>
      <w:r w:rsidR="00837F59" w:rsidRPr="00350FF1">
        <w:t>&gt;</w:t>
      </w:r>
    </w:p>
    <w:p w14:paraId="28D0E3FA" w14:textId="77777777" w:rsidR="007547C1" w:rsidRPr="00350FF1" w:rsidRDefault="007547C1" w:rsidP="007547C1">
      <w:pPr>
        <w:pStyle w:val="ListParagraph"/>
      </w:pPr>
    </w:p>
    <w:p w14:paraId="700271B3" w14:textId="73440B04" w:rsidR="007547C1" w:rsidRPr="00350FF1" w:rsidRDefault="007547C1" w:rsidP="006110A8">
      <w:pPr>
        <w:numPr>
          <w:ilvl w:val="0"/>
          <w:numId w:val="7"/>
        </w:numPr>
      </w:pPr>
      <w:r w:rsidRPr="00350FF1">
        <w:t>Each Marketing submission will be assigned a Log#</w:t>
      </w:r>
      <w:r w:rsidR="0060365D" w:rsidRPr="00350FF1">
        <w:t xml:space="preserve"> which must be displayed on the Marketing piece, if possible.</w:t>
      </w:r>
      <w:r w:rsidR="006C1368" w:rsidRPr="00350FF1">
        <w:t xml:space="preserve">  The Log# can be discreet and is for tracking purposes only.</w:t>
      </w:r>
      <w:r w:rsidR="00804443" w:rsidRPr="00350FF1">
        <w:t xml:space="preserve">  &lt;delete as appropriate&gt;</w:t>
      </w:r>
    </w:p>
    <w:p w14:paraId="4D562444" w14:textId="13D79B9C" w:rsidR="006813CE" w:rsidRDefault="006813CE" w:rsidP="006813CE">
      <w:pPr>
        <w:ind w:left="360"/>
      </w:pPr>
    </w:p>
    <w:p w14:paraId="517966E5" w14:textId="2B5A28A2" w:rsidR="00843F32" w:rsidRDefault="00843F32" w:rsidP="006813CE">
      <w:pPr>
        <w:ind w:left="360"/>
      </w:pPr>
      <w:r>
        <w:t>Social Media:</w:t>
      </w:r>
    </w:p>
    <w:p w14:paraId="3CD58CF8" w14:textId="678DCFD2" w:rsidR="00843F32" w:rsidRDefault="00843F32" w:rsidP="006813CE">
      <w:pPr>
        <w:ind w:left="360"/>
      </w:pPr>
    </w:p>
    <w:p w14:paraId="03BAE40A" w14:textId="77777777" w:rsidR="00843F32" w:rsidRPr="00D24927" w:rsidRDefault="00843F32" w:rsidP="00843F32">
      <w:pPr>
        <w:numPr>
          <w:ilvl w:val="0"/>
          <w:numId w:val="7"/>
        </w:numPr>
      </w:pPr>
      <w:r w:rsidRPr="00D24927">
        <w:t>XYZ maintains one or more firm-sponsored social media accounts. Only approved Supervised Persons may post to a firm-sponsored social media account, and a</w:t>
      </w:r>
      <w:r w:rsidRPr="00D24927" w:rsidDel="00266F27">
        <w:t xml:space="preserve">ll posts made by </w:t>
      </w:r>
      <w:r w:rsidRPr="00D24927">
        <w:t>Supervised Persons</w:t>
      </w:r>
      <w:r w:rsidRPr="00D24927" w:rsidDel="00266F27">
        <w:t xml:space="preserve">, including those made by the CCO, must be done </w:t>
      </w:r>
      <w:r>
        <w:t>in compliance with</w:t>
      </w:r>
      <w:r w:rsidRPr="00D24927" w:rsidDel="00266F27">
        <w:t xml:space="preserve"> these policies</w:t>
      </w:r>
      <w:r w:rsidRPr="00D24927">
        <w:t xml:space="preserve"> and procedures</w:t>
      </w:r>
      <w:r w:rsidRPr="00D24927" w:rsidDel="00266F27">
        <w:t>.</w:t>
      </w:r>
    </w:p>
    <w:p w14:paraId="33CAF7AD" w14:textId="77777777" w:rsidR="00843F32" w:rsidRPr="00D24927" w:rsidRDefault="00843F32" w:rsidP="00843F32">
      <w:pPr>
        <w:ind w:left="720"/>
      </w:pPr>
    </w:p>
    <w:p w14:paraId="0C8C697D" w14:textId="77777777" w:rsidR="00843F32" w:rsidRDefault="00843F32" w:rsidP="00843F32">
      <w:pPr>
        <w:numPr>
          <w:ilvl w:val="0"/>
          <w:numId w:val="7"/>
        </w:numPr>
      </w:pPr>
      <w:r w:rsidRPr="00D24927">
        <w:t>XYZ</w:t>
      </w:r>
      <w:r w:rsidRPr="00D24927" w:rsidDel="00473709">
        <w:t xml:space="preserve"> generally prohibits the use of </w:t>
      </w:r>
      <w:r w:rsidRPr="00D24927">
        <w:t>XYZ</w:t>
      </w:r>
      <w:r w:rsidRPr="00D24927" w:rsidDel="00473709">
        <w:t xml:space="preserve">’s name or </w:t>
      </w:r>
      <w:r w:rsidRPr="00D24927">
        <w:t xml:space="preserve">any </w:t>
      </w:r>
      <w:r w:rsidRPr="00D24927" w:rsidDel="00473709">
        <w:t xml:space="preserve">reference to our business activities on Supervised Persons’ personal social networking </w:t>
      </w:r>
      <w:r w:rsidRPr="00D24927">
        <w:t>accounts</w:t>
      </w:r>
      <w:r w:rsidRPr="00D24927" w:rsidDel="00473709">
        <w:t xml:space="preserve"> (e.g., Facebook). Exceptions may be made only when such </w:t>
      </w:r>
      <w:r w:rsidRPr="00D24927">
        <w:t>accounts</w:t>
      </w:r>
      <w:r w:rsidRPr="00D24927" w:rsidDel="00473709">
        <w:t xml:space="preserve"> are used for business purposes (e.g., LinkedIn) and when the content </w:t>
      </w:r>
      <w:r w:rsidRPr="00D24927">
        <w:t xml:space="preserve">conforms to XYZ’s </w:t>
      </w:r>
      <w:r>
        <w:t>policies and procedures</w:t>
      </w:r>
      <w:r w:rsidRPr="00D24927" w:rsidDel="00473709">
        <w:t>.</w:t>
      </w:r>
    </w:p>
    <w:p w14:paraId="01B79863" w14:textId="77777777" w:rsidR="00843F32" w:rsidRDefault="00843F32" w:rsidP="00843F32">
      <w:pPr>
        <w:ind w:left="720"/>
      </w:pPr>
    </w:p>
    <w:p w14:paraId="7B5DB560" w14:textId="77777777" w:rsidR="00843F32" w:rsidRPr="00843F32" w:rsidRDefault="00843F32" w:rsidP="00843F32">
      <w:pPr>
        <w:numPr>
          <w:ilvl w:val="0"/>
          <w:numId w:val="7"/>
        </w:numPr>
      </w:pPr>
      <w:r w:rsidRPr="00D24927">
        <w:t>XYZ</w:t>
      </w:r>
      <w:r w:rsidRPr="00D24927" w:rsidDel="00BC0E2F">
        <w:t xml:space="preserve"> generally allows use </w:t>
      </w:r>
      <w:r w:rsidRPr="00D24927">
        <w:t xml:space="preserve">by Supervised Persons </w:t>
      </w:r>
      <w:r w:rsidRPr="00D24927" w:rsidDel="00BC0E2F">
        <w:t xml:space="preserve">of </w:t>
      </w:r>
      <w:r w:rsidRPr="00D24927">
        <w:t>XYZ</w:t>
      </w:r>
      <w:r w:rsidRPr="00D24927" w:rsidDel="00BC0E2F">
        <w:t xml:space="preserve">’s name and </w:t>
      </w:r>
      <w:r w:rsidRPr="00D24927">
        <w:t>other “</w:t>
      </w:r>
      <w:r w:rsidRPr="00D24927" w:rsidDel="00BC0E2F">
        <w:t xml:space="preserve">business </w:t>
      </w:r>
      <w:r w:rsidRPr="00D24927">
        <w:t>card” information</w:t>
      </w:r>
      <w:r w:rsidRPr="00D24927" w:rsidDel="00BC0E2F">
        <w:t xml:space="preserve"> on </w:t>
      </w:r>
      <w:r w:rsidRPr="00D24927">
        <w:t xml:space="preserve">an exclusive list of </w:t>
      </w:r>
      <w:r w:rsidRPr="00D24927" w:rsidDel="00BC0E2F">
        <w:t xml:space="preserve">social networking sites </w:t>
      </w:r>
      <w:r w:rsidRPr="00D24927">
        <w:t xml:space="preserve">approved in writing by the CCO </w:t>
      </w:r>
      <w:r w:rsidRPr="00D24927" w:rsidDel="00BC0E2F">
        <w:t xml:space="preserve">(e.g., Facebook </w:t>
      </w:r>
      <w:r w:rsidRPr="00D24927">
        <w:t xml:space="preserve">and </w:t>
      </w:r>
      <w:r w:rsidRPr="00D24927" w:rsidDel="00BC0E2F">
        <w:t>LinkedIn)</w:t>
      </w:r>
      <w:r w:rsidRPr="00D24927">
        <w:t>,</w:t>
      </w:r>
      <w:r w:rsidRPr="00D24927" w:rsidDel="00BC0E2F">
        <w:t xml:space="preserve"> </w:t>
      </w:r>
      <w:proofErr w:type="gramStart"/>
      <w:r w:rsidRPr="00D24927" w:rsidDel="00BC0E2F">
        <w:t>as long as</w:t>
      </w:r>
      <w:proofErr w:type="gramEnd"/>
      <w:r w:rsidRPr="00D24927" w:rsidDel="00BC0E2F">
        <w:t xml:space="preserve"> such use does not include </w:t>
      </w:r>
      <w:r w:rsidRPr="00D24927">
        <w:t xml:space="preserve">client information or </w:t>
      </w:r>
      <w:r w:rsidRPr="00D24927" w:rsidDel="00BC0E2F">
        <w:t>investment-related data such as investment recommendations</w:t>
      </w:r>
      <w:r w:rsidRPr="00D24927">
        <w:t>, specific investment services,</w:t>
      </w:r>
      <w:r w:rsidRPr="00D24927" w:rsidDel="00BC0E2F">
        <w:t xml:space="preserve"> or </w:t>
      </w:r>
      <w:r w:rsidRPr="00D24927">
        <w:t>investment</w:t>
      </w:r>
      <w:r w:rsidRPr="00D24927" w:rsidDel="00BC0E2F">
        <w:t xml:space="preserve"> performance</w:t>
      </w:r>
      <w:r w:rsidRPr="00843F32" w:rsidDel="00BC0E2F">
        <w:t>.</w:t>
      </w:r>
    </w:p>
    <w:p w14:paraId="5504128C" w14:textId="77777777" w:rsidR="00843F32" w:rsidRDefault="00843F32" w:rsidP="00843F32">
      <w:pPr>
        <w:ind w:left="720"/>
      </w:pPr>
    </w:p>
    <w:p w14:paraId="18485A35" w14:textId="77777777" w:rsidR="00843F32" w:rsidRPr="00D24927" w:rsidRDefault="00843F32" w:rsidP="00843F32">
      <w:pPr>
        <w:numPr>
          <w:ilvl w:val="0"/>
          <w:numId w:val="7"/>
        </w:numPr>
      </w:pPr>
      <w:r>
        <w:t>XYZ utilizes a third-party vendor for social media archive and review.  All social media accounts used for business must be registered with XYZ’s vendor.</w:t>
      </w:r>
    </w:p>
    <w:p w14:paraId="2AB95276" w14:textId="77777777" w:rsidR="00843F32" w:rsidRPr="00843F32" w:rsidRDefault="00843F32" w:rsidP="00843F32">
      <w:pPr>
        <w:ind w:left="720"/>
      </w:pPr>
    </w:p>
    <w:p w14:paraId="229D3CFB" w14:textId="7514D2F4" w:rsidR="00843F32" w:rsidRPr="00880BCB" w:rsidRDefault="00843F32" w:rsidP="00843F32">
      <w:pPr>
        <w:numPr>
          <w:ilvl w:val="0"/>
          <w:numId w:val="7"/>
        </w:numPr>
      </w:pPr>
      <w:r w:rsidRPr="00D24927" w:rsidDel="00901CBC">
        <w:t xml:space="preserve">Supervised Persons of </w:t>
      </w:r>
      <w:r w:rsidRPr="00D24927">
        <w:t>XYZ</w:t>
      </w:r>
      <w:r w:rsidRPr="00D24927" w:rsidDel="00901CBC">
        <w:t> are prohibited from participating in discussions in internet forums</w:t>
      </w:r>
      <w:r w:rsidR="008C5A8B">
        <w:t xml:space="preserve"> (such as r/WallStreetBets)</w:t>
      </w:r>
      <w:r w:rsidRPr="00D24927" w:rsidDel="00901CBC">
        <w:t>, blogs or the firm's website</w:t>
      </w:r>
      <w:r w:rsidRPr="00D24927">
        <w:t>,</w:t>
      </w:r>
      <w:r w:rsidRPr="00D24927" w:rsidDel="00901CBC">
        <w:t xml:space="preserve"> or posting to social media sites, without prior written approval from the CCO, regarding the following: </w:t>
      </w:r>
    </w:p>
    <w:p w14:paraId="053920EF" w14:textId="77777777" w:rsidR="00843F32" w:rsidRPr="00D24927" w:rsidRDefault="00843F32" w:rsidP="00843F32">
      <w:pPr>
        <w:pStyle w:val="ListParagraph"/>
        <w:numPr>
          <w:ilvl w:val="1"/>
          <w:numId w:val="5"/>
        </w:numPr>
        <w:rPr>
          <w:color w:val="2F5496" w:themeColor="accent1" w:themeShade="BF"/>
        </w:rPr>
      </w:pPr>
      <w:r w:rsidRPr="00D24927">
        <w:t>XYZ</w:t>
      </w:r>
      <w:r w:rsidRPr="00D24927" w:rsidDel="00901CBC">
        <w:t xml:space="preserve">’s </w:t>
      </w:r>
      <w:r w:rsidRPr="00D24927">
        <w:t xml:space="preserve">specific investment </w:t>
      </w:r>
      <w:proofErr w:type="gramStart"/>
      <w:r w:rsidRPr="00D24927" w:rsidDel="00901CBC">
        <w:t>services;</w:t>
      </w:r>
      <w:proofErr w:type="gramEnd"/>
      <w:r w:rsidRPr="00D24927" w:rsidDel="00901CBC">
        <w:t xml:space="preserve"> </w:t>
      </w:r>
    </w:p>
    <w:p w14:paraId="7BB129B1" w14:textId="77777777" w:rsidR="00843F32" w:rsidRPr="00D24927" w:rsidRDefault="00843F32" w:rsidP="00843F32">
      <w:pPr>
        <w:pStyle w:val="ListParagraph"/>
        <w:numPr>
          <w:ilvl w:val="1"/>
          <w:numId w:val="5"/>
        </w:numPr>
        <w:rPr>
          <w:color w:val="2F5496" w:themeColor="accent1" w:themeShade="BF"/>
        </w:rPr>
      </w:pPr>
      <w:r w:rsidRPr="00D24927">
        <w:t>I</w:t>
      </w:r>
      <w:r w:rsidRPr="00D24927" w:rsidDel="00901CBC">
        <w:t>nvestment recommendations or advice; or </w:t>
      </w:r>
    </w:p>
    <w:p w14:paraId="56996655" w14:textId="77777777" w:rsidR="00843F32" w:rsidRPr="00D24927" w:rsidRDefault="00843F32" w:rsidP="00843F32">
      <w:pPr>
        <w:pStyle w:val="ListParagraph"/>
        <w:numPr>
          <w:ilvl w:val="1"/>
          <w:numId w:val="5"/>
        </w:numPr>
        <w:rPr>
          <w:color w:val="2F5496" w:themeColor="accent1" w:themeShade="BF"/>
        </w:rPr>
      </w:pPr>
      <w:r w:rsidRPr="00D24927">
        <w:t>Investment performance</w:t>
      </w:r>
      <w:r w:rsidRPr="00D24927" w:rsidDel="00901CBC">
        <w:t>.</w:t>
      </w:r>
    </w:p>
    <w:p w14:paraId="55F7AE9C" w14:textId="77777777" w:rsidR="00843F32" w:rsidRPr="00D24927" w:rsidRDefault="00843F32" w:rsidP="00843F32">
      <w:pPr>
        <w:pStyle w:val="ListParagraph"/>
      </w:pPr>
    </w:p>
    <w:p w14:paraId="19F26772" w14:textId="77777777" w:rsidR="00843F32" w:rsidRPr="00D24927" w:rsidRDefault="00843F32" w:rsidP="00843F32">
      <w:pPr>
        <w:numPr>
          <w:ilvl w:val="0"/>
          <w:numId w:val="7"/>
        </w:numPr>
      </w:pPr>
      <w:r w:rsidRPr="00D24927" w:rsidDel="002617A7">
        <w:t>Supervised Persons must obtain prior approval from the CCO for static content on social media sites (such as profiles, articles, scripted blog posts). No prior approval is required for real-time interactive communications, but this content must be reported to the CCO, and will be monitored by the firm.</w:t>
      </w:r>
    </w:p>
    <w:p w14:paraId="2D71223F" w14:textId="25770F88" w:rsidR="00843F32" w:rsidRDefault="00843F32" w:rsidP="006813CE">
      <w:pPr>
        <w:ind w:left="360"/>
      </w:pPr>
    </w:p>
    <w:p w14:paraId="639BAB2C" w14:textId="66029DDC" w:rsidR="00472B8B" w:rsidRDefault="00472B8B" w:rsidP="006813CE">
      <w:pPr>
        <w:ind w:left="360"/>
      </w:pPr>
    </w:p>
    <w:p w14:paraId="0D6EE9D3" w14:textId="77777777" w:rsidR="00472B8B" w:rsidRPr="00350FF1" w:rsidRDefault="00472B8B" w:rsidP="006813CE">
      <w:pPr>
        <w:ind w:left="360"/>
      </w:pPr>
    </w:p>
    <w:p w14:paraId="19805495" w14:textId="6AB11F26" w:rsidR="0031111A" w:rsidRDefault="0031111A" w:rsidP="006813CE">
      <w:pPr>
        <w:ind w:left="360"/>
      </w:pPr>
      <w:r>
        <w:lastRenderedPageBreak/>
        <w:t>Public Appearances:</w:t>
      </w:r>
    </w:p>
    <w:p w14:paraId="5DBA279E" w14:textId="77777777" w:rsidR="0031111A" w:rsidRDefault="0031111A" w:rsidP="006813CE">
      <w:pPr>
        <w:ind w:left="360"/>
      </w:pPr>
    </w:p>
    <w:p w14:paraId="0086E0E7" w14:textId="7B0B7FC8" w:rsidR="006813CE" w:rsidRDefault="00344CE8" w:rsidP="00344CE8">
      <w:pPr>
        <w:pStyle w:val="ListParagraph"/>
        <w:numPr>
          <w:ilvl w:val="0"/>
          <w:numId w:val="7"/>
        </w:numPr>
      </w:pPr>
      <w:r>
        <w:t xml:space="preserve">All public appearances </w:t>
      </w:r>
      <w:r w:rsidR="00A8435D">
        <w:t>must be pre-</w:t>
      </w:r>
      <w:proofErr w:type="gramStart"/>
      <w:r w:rsidR="00A8435D">
        <w:t>approved</w:t>
      </w:r>
      <w:r w:rsidR="00CF422A">
        <w:t xml:space="preserve">, </w:t>
      </w:r>
      <w:r w:rsidR="00695F1B">
        <w:t>and</w:t>
      </w:r>
      <w:proofErr w:type="gramEnd"/>
      <w:r w:rsidR="00695F1B">
        <w:t xml:space="preserve"> must include any handouts.</w:t>
      </w:r>
    </w:p>
    <w:p w14:paraId="2F5A610A" w14:textId="77777777" w:rsidR="00A8435D" w:rsidRDefault="00A8435D" w:rsidP="00A8435D"/>
    <w:p w14:paraId="174D225F" w14:textId="545B702F" w:rsidR="00A8435D" w:rsidRDefault="00695F1B" w:rsidP="00A8435D">
      <w:pPr>
        <w:pStyle w:val="ListParagraph"/>
        <w:numPr>
          <w:ilvl w:val="0"/>
          <w:numId w:val="7"/>
        </w:numPr>
      </w:pPr>
      <w:r>
        <w:t xml:space="preserve">If the </w:t>
      </w:r>
      <w:r w:rsidR="000D51C4">
        <w:t>presentation is pre-planned such as a webinar or speech, the text or an outline must be submitted for pre-approval.</w:t>
      </w:r>
    </w:p>
    <w:p w14:paraId="2E04A109" w14:textId="77777777" w:rsidR="000D51C4" w:rsidRDefault="000D51C4" w:rsidP="000D51C4">
      <w:pPr>
        <w:pStyle w:val="ListParagraph"/>
      </w:pPr>
    </w:p>
    <w:p w14:paraId="314137C0" w14:textId="6B638FAB" w:rsidR="000D51C4" w:rsidRPr="00350FF1" w:rsidRDefault="00F5755C" w:rsidP="00A8435D">
      <w:pPr>
        <w:pStyle w:val="ListParagraph"/>
        <w:numPr>
          <w:ilvl w:val="0"/>
          <w:numId w:val="7"/>
        </w:numPr>
      </w:pPr>
      <w:r>
        <w:t xml:space="preserve">If the presentation is not pre-planned, such as a media interview, </w:t>
      </w:r>
      <w:r w:rsidR="00390ED9">
        <w:t xml:space="preserve">any discussion of specific securities </w:t>
      </w:r>
      <w:r w:rsidR="00A56F21">
        <w:t xml:space="preserve">or </w:t>
      </w:r>
      <w:r w:rsidR="00151ACF">
        <w:t>account/composite/model performance is prohibited.</w:t>
      </w:r>
    </w:p>
    <w:p w14:paraId="5FE9DE57" w14:textId="77777777" w:rsidR="006110A8" w:rsidRDefault="006110A8" w:rsidP="006110A8">
      <w:pPr>
        <w:pStyle w:val="ListParagraph"/>
      </w:pPr>
    </w:p>
    <w:p w14:paraId="7F61A272" w14:textId="5C43A804" w:rsidR="00A8435D" w:rsidRDefault="00A8435D" w:rsidP="00A8435D">
      <w:pPr>
        <w:ind w:left="360"/>
      </w:pPr>
      <w:r>
        <w:t>Testimonials and Endorsements:</w:t>
      </w:r>
    </w:p>
    <w:p w14:paraId="2C5621F6" w14:textId="77777777" w:rsidR="00A8435D" w:rsidRPr="00350FF1" w:rsidRDefault="00A8435D" w:rsidP="006110A8">
      <w:pPr>
        <w:pStyle w:val="ListParagraph"/>
      </w:pPr>
    </w:p>
    <w:p w14:paraId="437AFA87" w14:textId="511E9227" w:rsidR="006110A8" w:rsidRDefault="00AE684F" w:rsidP="006110A8">
      <w:pPr>
        <w:numPr>
          <w:ilvl w:val="0"/>
          <w:numId w:val="7"/>
        </w:numPr>
      </w:pPr>
      <w:r w:rsidRPr="00350FF1">
        <w:t xml:space="preserve">Testimonials </w:t>
      </w:r>
      <w:r w:rsidR="00655EAE" w:rsidRPr="00350FF1">
        <w:t xml:space="preserve">and endorsements </w:t>
      </w:r>
      <w:r w:rsidRPr="00350FF1">
        <w:t xml:space="preserve">are now allowed provided they contain the required </w:t>
      </w:r>
      <w:r w:rsidR="00EF0DE9" w:rsidRPr="008150BC">
        <w:rPr>
          <w:i/>
          <w:iCs/>
        </w:rPr>
        <w:t xml:space="preserve">clear and prominent </w:t>
      </w:r>
      <w:r w:rsidRPr="008150BC">
        <w:rPr>
          <w:i/>
          <w:iCs/>
        </w:rPr>
        <w:t>disclosures</w:t>
      </w:r>
      <w:r w:rsidR="00F95B0D" w:rsidRPr="00350FF1">
        <w:t xml:space="preserve"> (see above)</w:t>
      </w:r>
      <w:r w:rsidR="008C4902" w:rsidRPr="00350FF1">
        <w:t>, are not subject to disqualification or the testimonials comply with the exemptions listed above.</w:t>
      </w:r>
      <w:r w:rsidR="007D6D56">
        <w:t xml:space="preserve">  Testimonials and endorsements may </w:t>
      </w:r>
      <w:r w:rsidR="00007D61">
        <w:t xml:space="preserve">be implicated in numerous ways, including but not limited to; </w:t>
      </w:r>
      <w:r w:rsidR="00790A06">
        <w:t xml:space="preserve">private fund promoters, </w:t>
      </w:r>
      <w:r w:rsidR="000E2450">
        <w:t>referrals from spheres of influence such as accountants</w:t>
      </w:r>
      <w:r w:rsidR="00367DC1">
        <w:t xml:space="preserve">/attorneys, </w:t>
      </w:r>
      <w:r w:rsidR="00500437">
        <w:t xml:space="preserve">customer </w:t>
      </w:r>
      <w:r w:rsidR="006B3153">
        <w:t xml:space="preserve">ratings, </w:t>
      </w:r>
      <w:r w:rsidR="00007D61">
        <w:t xml:space="preserve">bloggers, influencers, </w:t>
      </w:r>
      <w:r w:rsidR="005B5875">
        <w:t>lead generation firms, referral networks, as well as traditional testimonials by a client.</w:t>
      </w:r>
      <w:r w:rsidR="006B3153">
        <w:t xml:space="preserve">  Customer ratings are extremely popular on the </w:t>
      </w:r>
      <w:proofErr w:type="gramStart"/>
      <w:r w:rsidR="006B3153">
        <w:t>internet</w:t>
      </w:r>
      <w:proofErr w:type="gramEnd"/>
      <w:r w:rsidR="006B3153">
        <w:t xml:space="preserve"> and it is anticipated </w:t>
      </w:r>
      <w:r w:rsidR="008049A8">
        <w:t xml:space="preserve">they will be popular in financial services as well.  Customer ratings potentially implicate the </w:t>
      </w:r>
      <w:r w:rsidR="00C84F79">
        <w:t>testimonial rules.</w:t>
      </w:r>
    </w:p>
    <w:p w14:paraId="6EA5C08B" w14:textId="77777777" w:rsidR="007E0A08" w:rsidRDefault="007E0A08" w:rsidP="007E0A08">
      <w:pPr>
        <w:ind w:left="720"/>
      </w:pPr>
    </w:p>
    <w:p w14:paraId="2736C69F" w14:textId="79CF20D9" w:rsidR="007650B2" w:rsidRDefault="007655EB" w:rsidP="007650B2">
      <w:pPr>
        <w:numPr>
          <w:ilvl w:val="1"/>
          <w:numId w:val="7"/>
        </w:numPr>
      </w:pPr>
      <w:r>
        <w:t xml:space="preserve">Verify the </w:t>
      </w:r>
      <w:r w:rsidR="006B5EE5">
        <w:t>person giving the testimonial/endorsement</w:t>
      </w:r>
      <w:r>
        <w:t xml:space="preserve"> is not subject to disqualification</w:t>
      </w:r>
      <w:r w:rsidR="00BC5550">
        <w:t xml:space="preserve"> </w:t>
      </w:r>
      <w:r w:rsidR="00305D2C">
        <w:t xml:space="preserve">(see definitions above) </w:t>
      </w:r>
      <w:r w:rsidR="00BC5550">
        <w:t xml:space="preserve">and document the </w:t>
      </w:r>
      <w:r w:rsidR="00BE2E5B">
        <w:t>review.</w:t>
      </w:r>
    </w:p>
    <w:p w14:paraId="58B94FB2" w14:textId="77777777" w:rsidR="00BE2E5B" w:rsidRPr="00350FF1" w:rsidRDefault="00BE2E5B" w:rsidP="006B5EE5">
      <w:pPr>
        <w:numPr>
          <w:ilvl w:val="1"/>
          <w:numId w:val="7"/>
        </w:numPr>
      </w:pPr>
      <w:r w:rsidRPr="00350FF1">
        <w:t>Any endorsement or testimonial where compensation is over $1,000 must be agreed upon by written contract.  The IAR will confer with Compliance regarding such contracts</w:t>
      </w:r>
      <w:r>
        <w:t xml:space="preserve"> and endorsement payments will be made from the firm.  Staff is prohibited from making endorsement payments directly.</w:t>
      </w:r>
    </w:p>
    <w:p w14:paraId="238EA2CE" w14:textId="1A129E47" w:rsidR="007C30CD" w:rsidRDefault="007C30CD" w:rsidP="007650B2">
      <w:pPr>
        <w:numPr>
          <w:ilvl w:val="1"/>
          <w:numId w:val="7"/>
        </w:numPr>
      </w:pPr>
      <w:r>
        <w:t xml:space="preserve">The </w:t>
      </w:r>
      <w:r w:rsidR="006B5EE5">
        <w:t>person giving the testimonial/</w:t>
      </w:r>
      <w:proofErr w:type="gramStart"/>
      <w:r w:rsidR="006B5EE5">
        <w:t xml:space="preserve">endorsement </w:t>
      </w:r>
      <w:r>
        <w:t xml:space="preserve"> should</w:t>
      </w:r>
      <w:proofErr w:type="gramEnd"/>
      <w:r>
        <w:t xml:space="preserve"> be given a copy of these </w:t>
      </w:r>
      <w:r w:rsidR="00747E2D">
        <w:t>policies and procedures and specifically trained on the seven general prohibitions.</w:t>
      </w:r>
    </w:p>
    <w:p w14:paraId="353E739F" w14:textId="7A3F9FEE" w:rsidR="00747E2D" w:rsidRDefault="00686369" w:rsidP="007650B2">
      <w:pPr>
        <w:numPr>
          <w:ilvl w:val="1"/>
          <w:numId w:val="7"/>
        </w:numPr>
      </w:pPr>
      <w:r>
        <w:t xml:space="preserve">To meet the </w:t>
      </w:r>
      <w:r w:rsidRPr="00686369">
        <w:rPr>
          <w:i/>
          <w:iCs/>
        </w:rPr>
        <w:t>clear and prominent disclosure</w:t>
      </w:r>
      <w:r>
        <w:t xml:space="preserve"> requirement </w:t>
      </w:r>
      <w:r w:rsidR="00307C2B">
        <w:t xml:space="preserve">the </w:t>
      </w:r>
      <w:r w:rsidR="00D42148">
        <w:t>person giving the testimonial/endorsement</w:t>
      </w:r>
      <w:r w:rsidR="00307C2B">
        <w:t xml:space="preserve"> should </w:t>
      </w:r>
      <w:r w:rsidR="001C3294">
        <w:t xml:space="preserve">read the following scripted disclosure prior to speaking with </w:t>
      </w:r>
      <w:r w:rsidR="00326636">
        <w:t xml:space="preserve">or about </w:t>
      </w:r>
      <w:r w:rsidR="00633034">
        <w:t>XYZ</w:t>
      </w:r>
      <w:r w:rsidR="00326636">
        <w:t xml:space="preserve">.  “Before we </w:t>
      </w:r>
      <w:proofErr w:type="gramStart"/>
      <w:r w:rsidR="00326636">
        <w:t>begin</w:t>
      </w:r>
      <w:proofErr w:type="gramEnd"/>
      <w:r w:rsidR="00326636">
        <w:t xml:space="preserve"> I must</w:t>
      </w:r>
      <w:r w:rsidR="00633034">
        <w:t xml:space="preserve"> disclose that I am (not) a client of XYZ</w:t>
      </w:r>
      <w:r w:rsidR="00FB2CD9">
        <w:t>.</w:t>
      </w:r>
      <w:r w:rsidR="002C2414">
        <w:t xml:space="preserve">  </w:t>
      </w:r>
      <w:r w:rsidR="008719D0">
        <w:t>I am being compensated by XYZ which represents a conflict of interest</w:t>
      </w:r>
      <w:r w:rsidR="004B5DEB">
        <w:t>.”</w:t>
      </w:r>
    </w:p>
    <w:p w14:paraId="7E519901" w14:textId="7291F488" w:rsidR="0021133E" w:rsidRDefault="0021133E" w:rsidP="007650B2">
      <w:pPr>
        <w:numPr>
          <w:ilvl w:val="1"/>
          <w:numId w:val="7"/>
        </w:numPr>
      </w:pPr>
      <w:r>
        <w:t xml:space="preserve">There must be more comprehensive </w:t>
      </w:r>
      <w:proofErr w:type="gramStart"/>
      <w:r>
        <w:t>disclosures</w:t>
      </w:r>
      <w:proofErr w:type="gramEnd"/>
      <w:r>
        <w:t xml:space="preserve"> but these can be included </w:t>
      </w:r>
      <w:r w:rsidR="008E17F5">
        <w:t>in some way at the end of the event.  See Compliance for assistance.</w:t>
      </w:r>
    </w:p>
    <w:p w14:paraId="645EF75C" w14:textId="77777777" w:rsidR="005C67D9" w:rsidRDefault="005C67D9" w:rsidP="005C67D9">
      <w:pPr>
        <w:ind w:left="1440"/>
      </w:pPr>
    </w:p>
    <w:p w14:paraId="0B4F0C27" w14:textId="3B181598" w:rsidR="005C67D9" w:rsidRDefault="005C67D9" w:rsidP="005C67D9">
      <w:pPr>
        <w:numPr>
          <w:ilvl w:val="0"/>
          <w:numId w:val="7"/>
        </w:numPr>
      </w:pPr>
      <w:r>
        <w:t>The amended Rule is applicable to both cash and non-cash compensation.  If non-cash compensation is provided for testimonials and endorsements, the non-cash compensation must be entered on the Gifts/Entertainment/Political Contributions/Non-Cash Compensation Log.</w:t>
      </w:r>
    </w:p>
    <w:p w14:paraId="6DBFE5B0" w14:textId="77777777" w:rsidR="00C31D18" w:rsidRPr="00350FF1" w:rsidRDefault="00C31D18" w:rsidP="00C31D18">
      <w:pPr>
        <w:pStyle w:val="ListParagraph"/>
      </w:pPr>
    </w:p>
    <w:p w14:paraId="49A627C9" w14:textId="5A86983C" w:rsidR="005C6B72" w:rsidRPr="00350FF1" w:rsidRDefault="005C6B72" w:rsidP="005C6B72">
      <w:pPr>
        <w:ind w:left="360"/>
      </w:pPr>
      <w:r w:rsidRPr="00350FF1">
        <w:t>Third-Party Ratings:</w:t>
      </w:r>
    </w:p>
    <w:p w14:paraId="788B1E05" w14:textId="0C0B990F" w:rsidR="00E846F5" w:rsidRPr="00350FF1" w:rsidRDefault="00E846F5" w:rsidP="005C6B72">
      <w:pPr>
        <w:ind w:left="360"/>
      </w:pPr>
    </w:p>
    <w:p w14:paraId="60350266" w14:textId="0FCD992A" w:rsidR="00E846F5" w:rsidRDefault="00E846F5" w:rsidP="00E846F5">
      <w:pPr>
        <w:numPr>
          <w:ilvl w:val="0"/>
          <w:numId w:val="7"/>
        </w:numPr>
      </w:pPr>
      <w:r w:rsidRPr="00350FF1">
        <w:t xml:space="preserve">Third-party ratings and awards may be used in </w:t>
      </w:r>
      <w:r w:rsidR="00934E31" w:rsidRPr="00350FF1">
        <w:t>marketing</w:t>
      </w:r>
      <w:r w:rsidRPr="00350FF1">
        <w:t xml:space="preserve"> provided they comply with the </w:t>
      </w:r>
      <w:r w:rsidR="000A24C5" w:rsidRPr="00AF7D89">
        <w:rPr>
          <w:i/>
          <w:iCs/>
        </w:rPr>
        <w:t xml:space="preserve">clear and prominent </w:t>
      </w:r>
      <w:r w:rsidRPr="00AF7D89">
        <w:rPr>
          <w:i/>
          <w:iCs/>
        </w:rPr>
        <w:t>disclosure</w:t>
      </w:r>
      <w:r w:rsidRPr="00350FF1">
        <w:t xml:space="preserve"> requirements listed above and are not misleading.</w:t>
      </w:r>
    </w:p>
    <w:p w14:paraId="4F641054" w14:textId="77777777" w:rsidR="00F62C63" w:rsidRDefault="00F62C63" w:rsidP="00F62C63">
      <w:pPr>
        <w:ind w:left="720"/>
      </w:pPr>
    </w:p>
    <w:p w14:paraId="26D4EAAC" w14:textId="0FBEB69D" w:rsidR="00327688" w:rsidRPr="00350FF1" w:rsidRDefault="00F62C63" w:rsidP="00E846F5">
      <w:pPr>
        <w:numPr>
          <w:ilvl w:val="0"/>
          <w:numId w:val="7"/>
        </w:numPr>
      </w:pPr>
      <w:r>
        <w:t xml:space="preserve">Customer rating from services such as Yelp and Google My Business.  </w:t>
      </w:r>
      <w:proofErr w:type="gramStart"/>
      <w:r>
        <w:t>As long as</w:t>
      </w:r>
      <w:proofErr w:type="gramEnd"/>
      <w:r>
        <w:t xml:space="preserve"> XYZ does not adopt or become entangled </w:t>
      </w:r>
      <w:r w:rsidR="00467C92">
        <w:t xml:space="preserve">(see definition of </w:t>
      </w:r>
      <w:r w:rsidR="00467C92" w:rsidRPr="00467C92">
        <w:rPr>
          <w:i/>
          <w:iCs/>
        </w:rPr>
        <w:t>third-party content</w:t>
      </w:r>
      <w:r w:rsidR="00467C92">
        <w:t xml:space="preserve"> above) </w:t>
      </w:r>
      <w:r w:rsidR="00CF0FCA">
        <w:t>this is not considered marketing material.</w:t>
      </w:r>
    </w:p>
    <w:p w14:paraId="546AE1B8" w14:textId="77777777" w:rsidR="005C6B72" w:rsidRPr="00350FF1" w:rsidRDefault="005C6B72" w:rsidP="005C6B72">
      <w:pPr>
        <w:pStyle w:val="ListParagraph"/>
      </w:pPr>
    </w:p>
    <w:p w14:paraId="05882E75" w14:textId="428A88F3" w:rsidR="005C6B72" w:rsidRPr="00350FF1" w:rsidRDefault="005C6B72" w:rsidP="005C6B72">
      <w:pPr>
        <w:ind w:firstLine="360"/>
      </w:pPr>
      <w:r w:rsidRPr="00350FF1">
        <w:t>Performance Advertising:</w:t>
      </w:r>
    </w:p>
    <w:p w14:paraId="21BEC84E" w14:textId="77777777" w:rsidR="002F12E4" w:rsidRPr="00350FF1" w:rsidRDefault="002F12E4" w:rsidP="002F12E4">
      <w:pPr>
        <w:keepNext/>
      </w:pPr>
    </w:p>
    <w:p w14:paraId="5AE06EBF" w14:textId="112126E5" w:rsidR="00313879" w:rsidRPr="00350FF1" w:rsidRDefault="00313879" w:rsidP="00D25E27">
      <w:pPr>
        <w:numPr>
          <w:ilvl w:val="0"/>
          <w:numId w:val="7"/>
        </w:numPr>
      </w:pPr>
      <w:r w:rsidRPr="00350FF1">
        <w:t>XYZ does not allow performance advertising.  &lt;delete as appropriate&gt;</w:t>
      </w:r>
    </w:p>
    <w:p w14:paraId="3FDDE6C0" w14:textId="77777777" w:rsidR="00164022" w:rsidRPr="00350FF1" w:rsidRDefault="00164022" w:rsidP="00164022">
      <w:pPr>
        <w:ind w:left="720"/>
      </w:pPr>
    </w:p>
    <w:p w14:paraId="4BBF627A" w14:textId="25E265DC" w:rsidR="00D25E27" w:rsidRDefault="00EB2771" w:rsidP="00D25E27">
      <w:pPr>
        <w:numPr>
          <w:ilvl w:val="0"/>
          <w:numId w:val="7"/>
        </w:numPr>
      </w:pPr>
      <w:r w:rsidRPr="00350FF1">
        <w:t>XYZ allows actual performance to be advertised but does not allow hypothetical performance advertising.  &lt;delete as appropriate.</w:t>
      </w:r>
      <w:r w:rsidR="004274CD" w:rsidRPr="00350FF1">
        <w:t>&gt;</w:t>
      </w:r>
    </w:p>
    <w:p w14:paraId="0233720A" w14:textId="77777777" w:rsidR="008F06D4" w:rsidRDefault="008F06D4" w:rsidP="008F06D4">
      <w:pPr>
        <w:pStyle w:val="ListParagraph"/>
      </w:pPr>
    </w:p>
    <w:p w14:paraId="796A6862" w14:textId="3A444827" w:rsidR="008F06D4" w:rsidRPr="00350FF1" w:rsidRDefault="008F06D4" w:rsidP="00D25E27">
      <w:pPr>
        <w:numPr>
          <w:ilvl w:val="0"/>
          <w:numId w:val="7"/>
        </w:numPr>
      </w:pPr>
      <w:r>
        <w:t xml:space="preserve">Performance advertising must </w:t>
      </w:r>
      <w:r w:rsidR="003B182B">
        <w:t xml:space="preserve">be presented with consideration of the intended audience and whether </w:t>
      </w:r>
      <w:r w:rsidR="00E441EB">
        <w:t xml:space="preserve">the advertisement </w:t>
      </w:r>
      <w:r w:rsidR="00196D4F">
        <w:t>could be misleading, even if factually accurate.</w:t>
      </w:r>
      <w:r w:rsidR="00E23530">
        <w:t xml:space="preserve">  All advertising submissions must identify the </w:t>
      </w:r>
      <w:r w:rsidR="00941B83">
        <w:t xml:space="preserve">use and intended audience of the advertisement.  If the </w:t>
      </w:r>
      <w:r w:rsidR="00235A15">
        <w:t>audience is broad, such as with a website, the advertisement should</w:t>
      </w:r>
      <w:r w:rsidR="003F25DA">
        <w:t xml:space="preserve"> be written to address an unsophisticated investor</w:t>
      </w:r>
      <w:r w:rsidR="00C12CD0">
        <w:t xml:space="preserve"> with no knowledge or experience in investing.</w:t>
      </w:r>
    </w:p>
    <w:p w14:paraId="038729AD" w14:textId="77777777" w:rsidR="004274CD" w:rsidRPr="00350FF1" w:rsidRDefault="004274CD" w:rsidP="004274CD">
      <w:pPr>
        <w:pStyle w:val="ListParagraph"/>
      </w:pPr>
    </w:p>
    <w:p w14:paraId="29BE45C4" w14:textId="3443E820" w:rsidR="004274CD" w:rsidRPr="00350FF1" w:rsidRDefault="004274CD" w:rsidP="00D25E27">
      <w:pPr>
        <w:numPr>
          <w:ilvl w:val="0"/>
          <w:numId w:val="7"/>
        </w:numPr>
      </w:pPr>
      <w:r w:rsidRPr="00350FF1">
        <w:t>All performance must be net of fees.</w:t>
      </w:r>
      <w:r w:rsidR="00BE6BB0">
        <w:t xml:space="preserve">  &lt;delete as appropriate&gt;</w:t>
      </w:r>
    </w:p>
    <w:p w14:paraId="2BAA5934" w14:textId="77777777" w:rsidR="004274CD" w:rsidRPr="00350FF1" w:rsidRDefault="004274CD" w:rsidP="004274CD">
      <w:pPr>
        <w:pStyle w:val="ListParagraph"/>
      </w:pPr>
    </w:p>
    <w:p w14:paraId="173A1E55" w14:textId="01BAB7C8" w:rsidR="004274CD" w:rsidRPr="00350FF1" w:rsidRDefault="004274CD" w:rsidP="00D25E27">
      <w:pPr>
        <w:numPr>
          <w:ilvl w:val="0"/>
          <w:numId w:val="7"/>
        </w:numPr>
      </w:pPr>
      <w:r w:rsidRPr="00350FF1">
        <w:t xml:space="preserve">Gross performance may be advertised </w:t>
      </w:r>
      <w:r w:rsidR="00DF2E4A" w:rsidRPr="00350FF1">
        <w:t>provided</w:t>
      </w:r>
      <w:r w:rsidR="00D02BF1" w:rsidRPr="00350FF1">
        <w:t xml:space="preserve"> it is:</w:t>
      </w:r>
    </w:p>
    <w:p w14:paraId="4AD8F260" w14:textId="77777777" w:rsidR="00DF2E4A" w:rsidRPr="00350FF1" w:rsidRDefault="00DF2E4A" w:rsidP="00DF2E4A">
      <w:pPr>
        <w:pStyle w:val="ListParagraph"/>
      </w:pPr>
    </w:p>
    <w:p w14:paraId="7FD73253" w14:textId="73291BBD" w:rsidR="00DF2E4A" w:rsidRPr="00350FF1" w:rsidRDefault="00DF2E4A" w:rsidP="00DF2E4A">
      <w:pPr>
        <w:pStyle w:val="ListParagraph"/>
        <w:numPr>
          <w:ilvl w:val="1"/>
          <w:numId w:val="7"/>
        </w:numPr>
        <w:shd w:val="clear" w:color="auto" w:fill="FFFFFF"/>
        <w:textAlignment w:val="baseline"/>
      </w:pPr>
      <w:r w:rsidRPr="00350FF1">
        <w:t>With at least equal prominence to, and in a format designed to facilitate comparison with, the gross performance; and</w:t>
      </w:r>
    </w:p>
    <w:p w14:paraId="0B1A28B0" w14:textId="77777777" w:rsidR="00D02BF1" w:rsidRPr="00350FF1" w:rsidRDefault="00D02BF1" w:rsidP="00D02BF1">
      <w:pPr>
        <w:pStyle w:val="ListParagraph"/>
        <w:shd w:val="clear" w:color="auto" w:fill="FFFFFF"/>
        <w:ind w:left="1440"/>
        <w:textAlignment w:val="baseline"/>
      </w:pPr>
    </w:p>
    <w:p w14:paraId="47822AAF" w14:textId="61165D57" w:rsidR="00DF2E4A" w:rsidRPr="00350FF1" w:rsidRDefault="00DF2E4A" w:rsidP="00DF2E4A">
      <w:pPr>
        <w:pStyle w:val="ListParagraph"/>
        <w:numPr>
          <w:ilvl w:val="1"/>
          <w:numId w:val="7"/>
        </w:numPr>
        <w:shd w:val="clear" w:color="auto" w:fill="FFFFFF"/>
        <w:textAlignment w:val="baseline"/>
      </w:pPr>
      <w:r w:rsidRPr="00350FF1">
        <w:t xml:space="preserve">Calculated over the same </w:t>
      </w:r>
      <w:proofErr w:type="gramStart"/>
      <w:r w:rsidRPr="00350FF1">
        <w:t>time period</w:t>
      </w:r>
      <w:proofErr w:type="gramEnd"/>
      <w:r w:rsidRPr="00350FF1">
        <w:t>, and using the same type of return and methodology, as the gross performance.</w:t>
      </w:r>
    </w:p>
    <w:p w14:paraId="6EA57E19" w14:textId="77777777" w:rsidR="00DD12D6" w:rsidRPr="00350FF1" w:rsidRDefault="00DD12D6" w:rsidP="00DD12D6">
      <w:pPr>
        <w:pStyle w:val="ListParagraph"/>
      </w:pPr>
    </w:p>
    <w:p w14:paraId="5B5AF0E9" w14:textId="575101E4" w:rsidR="00DF2E4A" w:rsidRPr="00350FF1" w:rsidRDefault="002000E2" w:rsidP="00D25E27">
      <w:pPr>
        <w:numPr>
          <w:ilvl w:val="0"/>
          <w:numId w:val="7"/>
        </w:numPr>
      </w:pPr>
      <w:r w:rsidRPr="00350FF1">
        <w:t>Performance results must be for</w:t>
      </w:r>
      <w:r w:rsidR="00236966" w:rsidRPr="00350FF1">
        <w:t xml:space="preserve"> </w:t>
      </w:r>
      <w:proofErr w:type="gramStart"/>
      <w:r w:rsidRPr="00350FF1">
        <w:t>1</w:t>
      </w:r>
      <w:r w:rsidR="00236966" w:rsidRPr="00350FF1">
        <w:t xml:space="preserve">, </w:t>
      </w:r>
      <w:r w:rsidRPr="00350FF1">
        <w:t>5</w:t>
      </w:r>
      <w:r w:rsidR="00236966" w:rsidRPr="00350FF1">
        <w:t xml:space="preserve">, and </w:t>
      </w:r>
      <w:r w:rsidRPr="00350FF1">
        <w:t xml:space="preserve">10 </w:t>
      </w:r>
      <w:r w:rsidR="00236966" w:rsidRPr="00350FF1">
        <w:t>year</w:t>
      </w:r>
      <w:proofErr w:type="gramEnd"/>
      <w:r w:rsidR="00236966" w:rsidRPr="00350FF1">
        <w:t xml:space="preserve"> periods, each presented with equal prominence and ending on a date that is no less recent than the most recent calendar year-end; except that if the relevant portfolio did not exist for a particular prescribed period, then the life of the portfolio must be substituted for that period.</w:t>
      </w:r>
    </w:p>
    <w:p w14:paraId="5B1B4787" w14:textId="77777777" w:rsidR="001946F7" w:rsidRPr="00350FF1" w:rsidRDefault="001946F7" w:rsidP="001946F7"/>
    <w:p w14:paraId="4093DE9C" w14:textId="77777777" w:rsidR="001946F7" w:rsidRPr="00350FF1" w:rsidRDefault="001946F7" w:rsidP="003B5B5B">
      <w:pPr>
        <w:pStyle w:val="Heading2"/>
        <w:numPr>
          <w:ilvl w:val="0"/>
          <w:numId w:val="0"/>
        </w:numPr>
        <w:ind w:left="360" w:hanging="360"/>
      </w:pPr>
      <w:r w:rsidRPr="00350FF1">
        <w:t>Procedures and Responsible Party</w:t>
      </w:r>
    </w:p>
    <w:p w14:paraId="03CFD4FA" w14:textId="77777777" w:rsidR="001946F7" w:rsidRPr="00350FF1" w:rsidRDefault="001946F7" w:rsidP="001946F7">
      <w:pPr>
        <w:keepNext/>
      </w:pPr>
    </w:p>
    <w:p w14:paraId="572A272D" w14:textId="77777777" w:rsidR="001946F7" w:rsidRPr="00350FF1" w:rsidRDefault="001946F7" w:rsidP="001946F7">
      <w:pPr>
        <w:pStyle w:val="ListParagraph"/>
        <w:numPr>
          <w:ilvl w:val="0"/>
          <w:numId w:val="4"/>
        </w:numPr>
      </w:pPr>
      <w:r w:rsidRPr="00350FF1">
        <w:t>Any Supervised Person may create advertising materials, but the Supervised Person must submit the material for approval before use per the policies above.</w:t>
      </w:r>
    </w:p>
    <w:p w14:paraId="072DD792" w14:textId="77777777" w:rsidR="001946F7" w:rsidRPr="00350FF1" w:rsidRDefault="001946F7" w:rsidP="001946F7">
      <w:pPr>
        <w:pStyle w:val="ListParagraph"/>
      </w:pPr>
    </w:p>
    <w:p w14:paraId="04B3B6F0" w14:textId="77777777" w:rsidR="001946F7" w:rsidRPr="00350FF1" w:rsidRDefault="001946F7" w:rsidP="001946F7">
      <w:pPr>
        <w:pStyle w:val="ListParagraph"/>
        <w:numPr>
          <w:ilvl w:val="0"/>
          <w:numId w:val="4"/>
        </w:numPr>
      </w:pPr>
      <w:r w:rsidRPr="00350FF1">
        <w:t>Only approved Executive, Compliance, or Marketing personnel may create advertisements on behalf of the firm. All personnel responsible for creating advertising materials must comply with the policies above for creating and submitting materials for approval.</w:t>
      </w:r>
    </w:p>
    <w:p w14:paraId="68436D64" w14:textId="77777777" w:rsidR="001946F7" w:rsidRPr="00350FF1" w:rsidRDefault="001946F7" w:rsidP="001946F7">
      <w:pPr>
        <w:ind w:left="720"/>
      </w:pPr>
    </w:p>
    <w:p w14:paraId="798EDA2A" w14:textId="73EE6C01" w:rsidR="001946F7" w:rsidRPr="00350FF1" w:rsidRDefault="001946F7" w:rsidP="00492540">
      <w:pPr>
        <w:numPr>
          <w:ilvl w:val="0"/>
          <w:numId w:val="4"/>
        </w:numPr>
      </w:pPr>
      <w:r w:rsidRPr="00350FF1">
        <w:t xml:space="preserve">All advertising material created must be submitted for approval using the </w:t>
      </w:r>
      <w:r w:rsidR="006662F1">
        <w:t>Market</w:t>
      </w:r>
      <w:r w:rsidRPr="00350FF1">
        <w:t xml:space="preserve">ing Material Submission Form. Every </w:t>
      </w:r>
      <w:r w:rsidR="00875E9A">
        <w:t>Market</w:t>
      </w:r>
      <w:r w:rsidRPr="00350FF1">
        <w:t>ing Material Submission Form must be completed in entirety, including all applicable information</w:t>
      </w:r>
      <w:r w:rsidR="00492540" w:rsidRPr="00350FF1">
        <w:t>.</w:t>
      </w:r>
    </w:p>
    <w:p w14:paraId="13A069F1" w14:textId="77777777" w:rsidR="00492540" w:rsidRPr="00350FF1" w:rsidRDefault="00492540" w:rsidP="00492540">
      <w:pPr>
        <w:pStyle w:val="ListParagraph"/>
      </w:pPr>
    </w:p>
    <w:p w14:paraId="617BF756" w14:textId="49DDAE0A" w:rsidR="001946F7" w:rsidRDefault="00FA7324" w:rsidP="001946F7">
      <w:pPr>
        <w:numPr>
          <w:ilvl w:val="0"/>
          <w:numId w:val="4"/>
        </w:numPr>
      </w:pPr>
      <w:r w:rsidRPr="00350FF1">
        <w:t xml:space="preserve">XYZ will maintain a “Marketing Log” </w:t>
      </w:r>
      <w:r w:rsidR="00755631" w:rsidRPr="00350FF1">
        <w:t xml:space="preserve">that assigns each submission a Log </w:t>
      </w:r>
      <w:proofErr w:type="gramStart"/>
      <w:r w:rsidR="00755631" w:rsidRPr="00350FF1">
        <w:t>#, and</w:t>
      </w:r>
      <w:proofErr w:type="gramEnd"/>
      <w:r w:rsidR="00755631" w:rsidRPr="00350FF1">
        <w:t xml:space="preserve"> </w:t>
      </w:r>
      <w:r w:rsidR="00565A57" w:rsidRPr="00350FF1">
        <w:t>stipulates whether the piece was not-in-good order or approved.</w:t>
      </w:r>
    </w:p>
    <w:sectPr w:rsidR="00194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076"/>
    <w:multiLevelType w:val="hybridMultilevel"/>
    <w:tmpl w:val="61DEE39A"/>
    <w:lvl w:ilvl="0" w:tplc="E47E33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B182A"/>
    <w:multiLevelType w:val="hybridMultilevel"/>
    <w:tmpl w:val="E4DC89A6"/>
    <w:lvl w:ilvl="0" w:tplc="F8F458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84542"/>
    <w:multiLevelType w:val="hybridMultilevel"/>
    <w:tmpl w:val="4C56F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824DA"/>
    <w:multiLevelType w:val="hybridMultilevel"/>
    <w:tmpl w:val="E2547504"/>
    <w:lvl w:ilvl="0" w:tplc="04090019">
      <w:start w:val="1"/>
      <w:numFmt w:val="lowerLetter"/>
      <w:lvlText w:val="%1."/>
      <w:lvlJc w:val="left"/>
      <w:pPr>
        <w:ind w:left="234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F2E0F06"/>
    <w:multiLevelType w:val="hybridMultilevel"/>
    <w:tmpl w:val="43846DEC"/>
    <w:lvl w:ilvl="0" w:tplc="FBDE121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A07E4D"/>
    <w:multiLevelType w:val="hybridMultilevel"/>
    <w:tmpl w:val="8806B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7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501E0"/>
    <w:multiLevelType w:val="hybridMultilevel"/>
    <w:tmpl w:val="2D3A7BCE"/>
    <w:lvl w:ilvl="0" w:tplc="B6741E78">
      <w:start w:val="1"/>
      <w:numFmt w:val="decimal"/>
      <w:lvlText w:val="%1."/>
      <w:lvlJc w:val="left"/>
      <w:pPr>
        <w:ind w:left="720" w:hanging="360"/>
      </w:pPr>
      <w:rPr>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31B397C"/>
    <w:multiLevelType w:val="hybridMultilevel"/>
    <w:tmpl w:val="6B9EE584"/>
    <w:lvl w:ilvl="0" w:tplc="A6F6C9E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4FA6F1B"/>
    <w:multiLevelType w:val="hybridMultilevel"/>
    <w:tmpl w:val="0A581C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0E2AA0"/>
    <w:multiLevelType w:val="hybridMultilevel"/>
    <w:tmpl w:val="CC149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43C0E"/>
    <w:multiLevelType w:val="hybridMultilevel"/>
    <w:tmpl w:val="554A6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ED25CF"/>
    <w:multiLevelType w:val="hybridMultilevel"/>
    <w:tmpl w:val="E8747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84888"/>
    <w:multiLevelType w:val="hybridMultilevel"/>
    <w:tmpl w:val="B1D489D2"/>
    <w:lvl w:ilvl="0" w:tplc="B6741E78">
      <w:start w:val="1"/>
      <w:numFmt w:val="decimal"/>
      <w:lvlText w:val="%1."/>
      <w:lvlJc w:val="left"/>
      <w:pPr>
        <w:ind w:left="720" w:hanging="360"/>
      </w:pPr>
      <w:rPr>
        <w:i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33420"/>
    <w:multiLevelType w:val="hybridMultilevel"/>
    <w:tmpl w:val="DF267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41FFB"/>
    <w:multiLevelType w:val="hybridMultilevel"/>
    <w:tmpl w:val="CC0A28C8"/>
    <w:lvl w:ilvl="0" w:tplc="ABA089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A9600B"/>
    <w:multiLevelType w:val="hybridMultilevel"/>
    <w:tmpl w:val="631C99E2"/>
    <w:lvl w:ilvl="0" w:tplc="CE88F4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DA67EE"/>
    <w:multiLevelType w:val="hybridMultilevel"/>
    <w:tmpl w:val="C178A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26A70"/>
    <w:multiLevelType w:val="hybridMultilevel"/>
    <w:tmpl w:val="D0D4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84502"/>
    <w:multiLevelType w:val="hybridMultilevel"/>
    <w:tmpl w:val="8E828B1C"/>
    <w:lvl w:ilvl="0" w:tplc="ACCEEA0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5F4056"/>
    <w:multiLevelType w:val="hybridMultilevel"/>
    <w:tmpl w:val="D05AC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517B22"/>
    <w:multiLevelType w:val="hybridMultilevel"/>
    <w:tmpl w:val="50461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640E9"/>
    <w:multiLevelType w:val="hybridMultilevel"/>
    <w:tmpl w:val="1368D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50448"/>
    <w:multiLevelType w:val="hybridMultilevel"/>
    <w:tmpl w:val="AB5A055C"/>
    <w:lvl w:ilvl="0" w:tplc="00C27EFE">
      <w:start w:val="1"/>
      <w:numFmt w:val="decimal"/>
      <w:lvlText w:val="%1."/>
      <w:lvlJc w:val="left"/>
      <w:pPr>
        <w:ind w:left="720" w:hanging="360"/>
      </w:pPr>
      <w:rPr>
        <w:color w:val="auto"/>
      </w:rPr>
    </w:lvl>
    <w:lvl w:ilvl="1" w:tplc="1270BD68">
      <w:start w:val="1"/>
      <w:numFmt w:val="lowerLetter"/>
      <w:lvlText w:val="%2."/>
      <w:lvlJc w:val="left"/>
      <w:pPr>
        <w:ind w:left="1260" w:hanging="360"/>
      </w:pPr>
      <w:rPr>
        <w:color w:val="auto"/>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3" w15:restartNumberingAfterBreak="0">
    <w:nsid w:val="4023351E"/>
    <w:multiLevelType w:val="hybridMultilevel"/>
    <w:tmpl w:val="FE9A112A"/>
    <w:lvl w:ilvl="0" w:tplc="B6741E78">
      <w:start w:val="1"/>
      <w:numFmt w:val="decimal"/>
      <w:lvlText w:val="%1."/>
      <w:lvlJc w:val="left"/>
      <w:pPr>
        <w:ind w:left="720" w:hanging="360"/>
      </w:pPr>
      <w:rPr>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44B3A31"/>
    <w:multiLevelType w:val="hybridMultilevel"/>
    <w:tmpl w:val="60C02350"/>
    <w:lvl w:ilvl="0" w:tplc="6D06F9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212B5A"/>
    <w:multiLevelType w:val="hybridMultilevel"/>
    <w:tmpl w:val="1C0AF69E"/>
    <w:lvl w:ilvl="0" w:tplc="F8A0C8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841213"/>
    <w:multiLevelType w:val="hybridMultilevel"/>
    <w:tmpl w:val="1AEE7DBC"/>
    <w:lvl w:ilvl="0" w:tplc="7FD69304">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876A87"/>
    <w:multiLevelType w:val="hybridMultilevel"/>
    <w:tmpl w:val="9EDCEA38"/>
    <w:lvl w:ilvl="0" w:tplc="7D6AE812">
      <w:start w:val="1"/>
      <w:numFmt w:val="decimal"/>
      <w:lvlText w:val="%1."/>
      <w:lvlJc w:val="left"/>
      <w:pPr>
        <w:ind w:left="720" w:hanging="360"/>
      </w:pPr>
      <w:rPr>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02E2B48"/>
    <w:multiLevelType w:val="hybridMultilevel"/>
    <w:tmpl w:val="633A2F54"/>
    <w:lvl w:ilvl="0" w:tplc="66AC6C20">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14895"/>
    <w:multiLevelType w:val="multilevel"/>
    <w:tmpl w:val="B49EBE88"/>
    <w:lvl w:ilvl="0">
      <w:start w:val="1"/>
      <w:numFmt w:val="none"/>
      <w:lvlText w:val="%1"/>
      <w:lvlJc w:val="left"/>
      <w:pPr>
        <w:tabs>
          <w:tab w:val="num" w:pos="0"/>
        </w:tabs>
        <w:ind w:left="0" w:firstLine="0"/>
      </w:pPr>
      <w:rPr>
        <w:rFonts w:ascii="Curlz MT" w:hAnsi="Curlz MT" w:hint="default"/>
        <w:b/>
        <w:i w:val="0"/>
        <w:color w:val="auto"/>
        <w:sz w:val="28"/>
      </w:rPr>
    </w:lvl>
    <w:lvl w:ilvl="1">
      <w:start w:val="1"/>
      <w:numFmt w:val="decimal"/>
      <w:lvlRestart w:val="0"/>
      <w:lvlText w:val="%1%2"/>
      <w:lvlJc w:val="left"/>
      <w:pPr>
        <w:tabs>
          <w:tab w:val="num" w:pos="720"/>
        </w:tabs>
        <w:ind w:left="0" w:firstLine="0"/>
      </w:pPr>
      <w:rPr>
        <w:rFonts w:ascii="Times New Roman" w:hAnsi="Times New Roman" w:hint="default"/>
        <w:b/>
        <w:i w:val="0"/>
        <w:color w:val="auto"/>
        <w:sz w:val="28"/>
      </w:rPr>
    </w:lvl>
    <w:lvl w:ilvl="2">
      <w:start w:val="1"/>
      <w:numFmt w:val="decimal"/>
      <w:lvlText w:val="%1%2.%3"/>
      <w:lvlJc w:val="left"/>
      <w:pPr>
        <w:tabs>
          <w:tab w:val="num" w:pos="720"/>
        </w:tabs>
        <w:ind w:left="0" w:firstLine="0"/>
      </w:pPr>
      <w:rPr>
        <w:rFonts w:ascii="Times New Roman" w:hAnsi="Times New Roman" w:hint="default"/>
        <w:b/>
        <w:i w:val="0"/>
        <w:color w:val="auto"/>
        <w:sz w:val="24"/>
      </w:rPr>
    </w:lvl>
    <w:lvl w:ilvl="3">
      <w:start w:val="1"/>
      <w:numFmt w:val="decimal"/>
      <w:lvlText w:val="%1%2.%3.%4"/>
      <w:lvlJc w:val="left"/>
      <w:pPr>
        <w:tabs>
          <w:tab w:val="num" w:pos="1080"/>
        </w:tabs>
        <w:ind w:left="360" w:firstLine="0"/>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i w:val="0"/>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52525215"/>
    <w:multiLevelType w:val="hybridMultilevel"/>
    <w:tmpl w:val="60C02350"/>
    <w:lvl w:ilvl="0" w:tplc="6D06F9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B12597"/>
    <w:multiLevelType w:val="hybridMultilevel"/>
    <w:tmpl w:val="70DAB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15BD9"/>
    <w:multiLevelType w:val="hybridMultilevel"/>
    <w:tmpl w:val="4B30001A"/>
    <w:lvl w:ilvl="0" w:tplc="27265E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BC0D0A"/>
    <w:multiLevelType w:val="hybridMultilevel"/>
    <w:tmpl w:val="CEC030D0"/>
    <w:lvl w:ilvl="0" w:tplc="419080B2">
      <w:start w:val="1"/>
      <w:numFmt w:val="decimal"/>
      <w:pStyle w:val="Heading2"/>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34" w15:restartNumberingAfterBreak="0">
    <w:nsid w:val="5A9547F8"/>
    <w:multiLevelType w:val="multilevel"/>
    <w:tmpl w:val="50926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9C7E7E"/>
    <w:multiLevelType w:val="hybridMultilevel"/>
    <w:tmpl w:val="EC6C9F04"/>
    <w:lvl w:ilvl="0" w:tplc="3210EE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FD63E3"/>
    <w:multiLevelType w:val="hybridMultilevel"/>
    <w:tmpl w:val="D0D4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D83C18"/>
    <w:multiLevelType w:val="hybridMultilevel"/>
    <w:tmpl w:val="6C36F2F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2C131F"/>
    <w:multiLevelType w:val="hybridMultilevel"/>
    <w:tmpl w:val="9538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F07D3"/>
    <w:multiLevelType w:val="hybridMultilevel"/>
    <w:tmpl w:val="B19EAA90"/>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4407F"/>
    <w:multiLevelType w:val="hybridMultilevel"/>
    <w:tmpl w:val="093ECC50"/>
    <w:lvl w:ilvl="0" w:tplc="6D06F98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6F6A7AC4"/>
    <w:multiLevelType w:val="hybridMultilevel"/>
    <w:tmpl w:val="5E46FE04"/>
    <w:lvl w:ilvl="0" w:tplc="A2D8CC8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CA521F"/>
    <w:multiLevelType w:val="hybridMultilevel"/>
    <w:tmpl w:val="5DF262A4"/>
    <w:lvl w:ilvl="0" w:tplc="04090019">
      <w:start w:val="1"/>
      <w:numFmt w:val="lowerLetter"/>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B5E2A9C"/>
    <w:multiLevelType w:val="hybridMultilevel"/>
    <w:tmpl w:val="112660C4"/>
    <w:lvl w:ilvl="0" w:tplc="DA0810A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C4F37CE"/>
    <w:multiLevelType w:val="hybridMultilevel"/>
    <w:tmpl w:val="D0D405F8"/>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A5EA8"/>
    <w:multiLevelType w:val="hybridMultilevel"/>
    <w:tmpl w:val="3E1C01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AD1C50"/>
    <w:multiLevelType w:val="hybridMultilevel"/>
    <w:tmpl w:val="B888C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44550A"/>
    <w:multiLevelType w:val="hybridMultilevel"/>
    <w:tmpl w:val="B888C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752922">
    <w:abstractNumId w:val="33"/>
  </w:num>
  <w:num w:numId="2" w16cid:durableId="1196045374">
    <w:abstractNumId w:val="5"/>
  </w:num>
  <w:num w:numId="3" w16cid:durableId="1353219571">
    <w:abstractNumId w:val="45"/>
  </w:num>
  <w:num w:numId="4" w16cid:durableId="531579903">
    <w:abstractNumId w:val="17"/>
  </w:num>
  <w:num w:numId="5" w16cid:durableId="1319844229">
    <w:abstractNumId w:val="22"/>
  </w:num>
  <w:num w:numId="6" w16cid:durableId="1524830499">
    <w:abstractNumId w:val="18"/>
  </w:num>
  <w:num w:numId="7" w16cid:durableId="314265160">
    <w:abstractNumId w:val="8"/>
  </w:num>
  <w:num w:numId="8" w16cid:durableId="127480394">
    <w:abstractNumId w:val="38"/>
  </w:num>
  <w:num w:numId="9" w16cid:durableId="1498153874">
    <w:abstractNumId w:val="13"/>
  </w:num>
  <w:num w:numId="10" w16cid:durableId="1762603811">
    <w:abstractNumId w:val="16"/>
  </w:num>
  <w:num w:numId="11" w16cid:durableId="1543900441">
    <w:abstractNumId w:val="21"/>
  </w:num>
  <w:num w:numId="12" w16cid:durableId="1653440253">
    <w:abstractNumId w:val="44"/>
  </w:num>
  <w:num w:numId="13" w16cid:durableId="1460566588">
    <w:abstractNumId w:val="47"/>
  </w:num>
  <w:num w:numId="14" w16cid:durableId="401487103">
    <w:abstractNumId w:val="36"/>
  </w:num>
  <w:num w:numId="15" w16cid:durableId="658853373">
    <w:abstractNumId w:val="11"/>
  </w:num>
  <w:num w:numId="16" w16cid:durableId="856818738">
    <w:abstractNumId w:val="19"/>
  </w:num>
  <w:num w:numId="17" w16cid:durableId="407001046">
    <w:abstractNumId w:val="10"/>
  </w:num>
  <w:num w:numId="18" w16cid:durableId="1967158521">
    <w:abstractNumId w:val="9"/>
  </w:num>
  <w:num w:numId="19" w16cid:durableId="1715037599">
    <w:abstractNumId w:val="31"/>
  </w:num>
  <w:num w:numId="20" w16cid:durableId="1752190832">
    <w:abstractNumId w:val="20"/>
  </w:num>
  <w:num w:numId="21" w16cid:durableId="42944600">
    <w:abstractNumId w:val="27"/>
  </w:num>
  <w:num w:numId="22" w16cid:durableId="1218084513">
    <w:abstractNumId w:val="46"/>
  </w:num>
  <w:num w:numId="23" w16cid:durableId="390858426">
    <w:abstractNumId w:val="39"/>
  </w:num>
  <w:num w:numId="24" w16cid:durableId="492449802">
    <w:abstractNumId w:val="3"/>
  </w:num>
  <w:num w:numId="25" w16cid:durableId="1213496425">
    <w:abstractNumId w:val="42"/>
  </w:num>
  <w:num w:numId="26" w16cid:durableId="1033727621">
    <w:abstractNumId w:val="12"/>
  </w:num>
  <w:num w:numId="27" w16cid:durableId="921331797">
    <w:abstractNumId w:val="6"/>
  </w:num>
  <w:num w:numId="28" w16cid:durableId="1907689617">
    <w:abstractNumId w:val="23"/>
  </w:num>
  <w:num w:numId="29" w16cid:durableId="1266688485">
    <w:abstractNumId w:val="37"/>
  </w:num>
  <w:num w:numId="30" w16cid:durableId="442767050">
    <w:abstractNumId w:val="34"/>
  </w:num>
  <w:num w:numId="31" w16cid:durableId="2066565143">
    <w:abstractNumId w:val="15"/>
  </w:num>
  <w:num w:numId="32" w16cid:durableId="1812939429">
    <w:abstractNumId w:val="41"/>
  </w:num>
  <w:num w:numId="33" w16cid:durableId="1816797043">
    <w:abstractNumId w:val="43"/>
  </w:num>
  <w:num w:numId="34" w16cid:durableId="1437361362">
    <w:abstractNumId w:val="14"/>
  </w:num>
  <w:num w:numId="35" w16cid:durableId="371853959">
    <w:abstractNumId w:val="25"/>
  </w:num>
  <w:num w:numId="36" w16cid:durableId="1846364076">
    <w:abstractNumId w:val="7"/>
  </w:num>
  <w:num w:numId="37" w16cid:durableId="1362896988">
    <w:abstractNumId w:val="4"/>
  </w:num>
  <w:num w:numId="38" w16cid:durableId="1140076447">
    <w:abstractNumId w:val="0"/>
  </w:num>
  <w:num w:numId="39" w16cid:durableId="808548480">
    <w:abstractNumId w:val="32"/>
  </w:num>
  <w:num w:numId="40" w16cid:durableId="1007250995">
    <w:abstractNumId w:val="1"/>
  </w:num>
  <w:num w:numId="41" w16cid:durableId="158346641">
    <w:abstractNumId w:val="24"/>
  </w:num>
  <w:num w:numId="42" w16cid:durableId="564068708">
    <w:abstractNumId w:val="35"/>
  </w:num>
  <w:num w:numId="43" w16cid:durableId="1476142445">
    <w:abstractNumId w:val="28"/>
  </w:num>
  <w:num w:numId="44" w16cid:durableId="1687443260">
    <w:abstractNumId w:val="2"/>
  </w:num>
  <w:num w:numId="45" w16cid:durableId="89009892">
    <w:abstractNumId w:val="30"/>
  </w:num>
  <w:num w:numId="46" w16cid:durableId="1349136752">
    <w:abstractNumId w:val="40"/>
  </w:num>
  <w:num w:numId="47" w16cid:durableId="596912769">
    <w:abstractNumId w:val="29"/>
  </w:num>
  <w:num w:numId="48" w16cid:durableId="6013752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F7"/>
    <w:rsid w:val="00007D61"/>
    <w:rsid w:val="00011BA3"/>
    <w:rsid w:val="000139FA"/>
    <w:rsid w:val="0001738A"/>
    <w:rsid w:val="00021A5B"/>
    <w:rsid w:val="00034BC8"/>
    <w:rsid w:val="0004236F"/>
    <w:rsid w:val="00043C9A"/>
    <w:rsid w:val="00044962"/>
    <w:rsid w:val="00054B04"/>
    <w:rsid w:val="00065CFC"/>
    <w:rsid w:val="00074AF8"/>
    <w:rsid w:val="000A24C5"/>
    <w:rsid w:val="000A589D"/>
    <w:rsid w:val="000A7797"/>
    <w:rsid w:val="000B15E6"/>
    <w:rsid w:val="000B4B36"/>
    <w:rsid w:val="000D0F3B"/>
    <w:rsid w:val="000D1ECE"/>
    <w:rsid w:val="000D3141"/>
    <w:rsid w:val="000D51C4"/>
    <w:rsid w:val="000E2450"/>
    <w:rsid w:val="000E249A"/>
    <w:rsid w:val="000E4D38"/>
    <w:rsid w:val="000F0DE8"/>
    <w:rsid w:val="000F3FA2"/>
    <w:rsid w:val="001065A2"/>
    <w:rsid w:val="0012426E"/>
    <w:rsid w:val="00143FC6"/>
    <w:rsid w:val="00144CFD"/>
    <w:rsid w:val="00145DD8"/>
    <w:rsid w:val="00151ACF"/>
    <w:rsid w:val="0015388D"/>
    <w:rsid w:val="00161D9E"/>
    <w:rsid w:val="00164022"/>
    <w:rsid w:val="001648A8"/>
    <w:rsid w:val="001749FE"/>
    <w:rsid w:val="0018620A"/>
    <w:rsid w:val="001946F7"/>
    <w:rsid w:val="00196017"/>
    <w:rsid w:val="00196D4F"/>
    <w:rsid w:val="001B2B17"/>
    <w:rsid w:val="001C19A4"/>
    <w:rsid w:val="001C3294"/>
    <w:rsid w:val="001C44B8"/>
    <w:rsid w:val="001C4C60"/>
    <w:rsid w:val="001C539B"/>
    <w:rsid w:val="001D4F61"/>
    <w:rsid w:val="001D7B5D"/>
    <w:rsid w:val="001E2E54"/>
    <w:rsid w:val="001F2C56"/>
    <w:rsid w:val="002000E2"/>
    <w:rsid w:val="00203DAE"/>
    <w:rsid w:val="0021133E"/>
    <w:rsid w:val="0021734A"/>
    <w:rsid w:val="00231D8B"/>
    <w:rsid w:val="00235A15"/>
    <w:rsid w:val="00236966"/>
    <w:rsid w:val="002553C3"/>
    <w:rsid w:val="00255CD4"/>
    <w:rsid w:val="00261D4A"/>
    <w:rsid w:val="00270FF4"/>
    <w:rsid w:val="0027193F"/>
    <w:rsid w:val="0028599D"/>
    <w:rsid w:val="002A1A6F"/>
    <w:rsid w:val="002A35C4"/>
    <w:rsid w:val="002A728B"/>
    <w:rsid w:val="002B3542"/>
    <w:rsid w:val="002C2414"/>
    <w:rsid w:val="002C67B3"/>
    <w:rsid w:val="002C695A"/>
    <w:rsid w:val="002F12E4"/>
    <w:rsid w:val="00305D2C"/>
    <w:rsid w:val="00307C2B"/>
    <w:rsid w:val="0031111A"/>
    <w:rsid w:val="00311652"/>
    <w:rsid w:val="00313879"/>
    <w:rsid w:val="00320867"/>
    <w:rsid w:val="00326636"/>
    <w:rsid w:val="00327688"/>
    <w:rsid w:val="0033401D"/>
    <w:rsid w:val="003350AF"/>
    <w:rsid w:val="00342518"/>
    <w:rsid w:val="00344CE8"/>
    <w:rsid w:val="00350357"/>
    <w:rsid w:val="00350FF1"/>
    <w:rsid w:val="003518DE"/>
    <w:rsid w:val="00356EDA"/>
    <w:rsid w:val="00363C93"/>
    <w:rsid w:val="00367DC1"/>
    <w:rsid w:val="0037425D"/>
    <w:rsid w:val="003760CB"/>
    <w:rsid w:val="003767ED"/>
    <w:rsid w:val="00385AE1"/>
    <w:rsid w:val="0038740E"/>
    <w:rsid w:val="00390ED9"/>
    <w:rsid w:val="003B182B"/>
    <w:rsid w:val="003B2A5D"/>
    <w:rsid w:val="003B2B28"/>
    <w:rsid w:val="003B4888"/>
    <w:rsid w:val="003B5B5B"/>
    <w:rsid w:val="003C0F79"/>
    <w:rsid w:val="003D60B1"/>
    <w:rsid w:val="003E211F"/>
    <w:rsid w:val="003E576E"/>
    <w:rsid w:val="003F1655"/>
    <w:rsid w:val="003F1DB5"/>
    <w:rsid w:val="003F25DA"/>
    <w:rsid w:val="003F7B88"/>
    <w:rsid w:val="00404356"/>
    <w:rsid w:val="004043DD"/>
    <w:rsid w:val="004059DB"/>
    <w:rsid w:val="00414A14"/>
    <w:rsid w:val="00422CF3"/>
    <w:rsid w:val="0042368F"/>
    <w:rsid w:val="004272DA"/>
    <w:rsid w:val="004274CD"/>
    <w:rsid w:val="00427BE4"/>
    <w:rsid w:val="00430C72"/>
    <w:rsid w:val="00440372"/>
    <w:rsid w:val="004432D1"/>
    <w:rsid w:val="00453B2A"/>
    <w:rsid w:val="0046541C"/>
    <w:rsid w:val="00467C92"/>
    <w:rsid w:val="00472B8B"/>
    <w:rsid w:val="00492540"/>
    <w:rsid w:val="0049539E"/>
    <w:rsid w:val="004A3442"/>
    <w:rsid w:val="004A3A9E"/>
    <w:rsid w:val="004A5522"/>
    <w:rsid w:val="004A557D"/>
    <w:rsid w:val="004B5DEB"/>
    <w:rsid w:val="004B75FF"/>
    <w:rsid w:val="004B78D5"/>
    <w:rsid w:val="004C7C51"/>
    <w:rsid w:val="004D0E7C"/>
    <w:rsid w:val="004D6695"/>
    <w:rsid w:val="00500437"/>
    <w:rsid w:val="00501AFA"/>
    <w:rsid w:val="00502720"/>
    <w:rsid w:val="005062B9"/>
    <w:rsid w:val="00511350"/>
    <w:rsid w:val="00515503"/>
    <w:rsid w:val="00530F95"/>
    <w:rsid w:val="00542474"/>
    <w:rsid w:val="00543BCB"/>
    <w:rsid w:val="005651C2"/>
    <w:rsid w:val="00565A57"/>
    <w:rsid w:val="0056773C"/>
    <w:rsid w:val="005707C4"/>
    <w:rsid w:val="005769B7"/>
    <w:rsid w:val="0059106F"/>
    <w:rsid w:val="00592F03"/>
    <w:rsid w:val="005936A1"/>
    <w:rsid w:val="0059425A"/>
    <w:rsid w:val="00596C64"/>
    <w:rsid w:val="005A5CAF"/>
    <w:rsid w:val="005A75D3"/>
    <w:rsid w:val="005B5875"/>
    <w:rsid w:val="005C1D5C"/>
    <w:rsid w:val="005C67D9"/>
    <w:rsid w:val="005C6B72"/>
    <w:rsid w:val="005D3593"/>
    <w:rsid w:val="005D5F45"/>
    <w:rsid w:val="005E194D"/>
    <w:rsid w:val="005E2404"/>
    <w:rsid w:val="005F046C"/>
    <w:rsid w:val="0060365D"/>
    <w:rsid w:val="006110A8"/>
    <w:rsid w:val="00615A69"/>
    <w:rsid w:val="0062303C"/>
    <w:rsid w:val="00633034"/>
    <w:rsid w:val="006459CE"/>
    <w:rsid w:val="00655EAE"/>
    <w:rsid w:val="00662783"/>
    <w:rsid w:val="006662F1"/>
    <w:rsid w:val="00670C16"/>
    <w:rsid w:val="006813CE"/>
    <w:rsid w:val="00686369"/>
    <w:rsid w:val="00694CE9"/>
    <w:rsid w:val="00695F1B"/>
    <w:rsid w:val="00697312"/>
    <w:rsid w:val="006A0D0A"/>
    <w:rsid w:val="006A1991"/>
    <w:rsid w:val="006A3E64"/>
    <w:rsid w:val="006A58B5"/>
    <w:rsid w:val="006B0E53"/>
    <w:rsid w:val="006B1F77"/>
    <w:rsid w:val="006B2083"/>
    <w:rsid w:val="006B2602"/>
    <w:rsid w:val="006B3153"/>
    <w:rsid w:val="006B5EE5"/>
    <w:rsid w:val="006C1368"/>
    <w:rsid w:val="006D26D8"/>
    <w:rsid w:val="006E7602"/>
    <w:rsid w:val="006F3C98"/>
    <w:rsid w:val="006F7DDE"/>
    <w:rsid w:val="0070576D"/>
    <w:rsid w:val="007164B1"/>
    <w:rsid w:val="00722A51"/>
    <w:rsid w:val="00722B29"/>
    <w:rsid w:val="007263BF"/>
    <w:rsid w:val="007358C0"/>
    <w:rsid w:val="00735C2E"/>
    <w:rsid w:val="007404BD"/>
    <w:rsid w:val="007475AE"/>
    <w:rsid w:val="0074796E"/>
    <w:rsid w:val="00747E2D"/>
    <w:rsid w:val="007547C1"/>
    <w:rsid w:val="00755631"/>
    <w:rsid w:val="00756A35"/>
    <w:rsid w:val="0075791E"/>
    <w:rsid w:val="00762F7B"/>
    <w:rsid w:val="00763550"/>
    <w:rsid w:val="007649E5"/>
    <w:rsid w:val="007650B2"/>
    <w:rsid w:val="007655EB"/>
    <w:rsid w:val="0076720C"/>
    <w:rsid w:val="00790A06"/>
    <w:rsid w:val="0079158A"/>
    <w:rsid w:val="007A1BBA"/>
    <w:rsid w:val="007A3D59"/>
    <w:rsid w:val="007B0CF6"/>
    <w:rsid w:val="007B1C2F"/>
    <w:rsid w:val="007C2A03"/>
    <w:rsid w:val="007C30CD"/>
    <w:rsid w:val="007D6D56"/>
    <w:rsid w:val="007E0A08"/>
    <w:rsid w:val="007E57C8"/>
    <w:rsid w:val="00804443"/>
    <w:rsid w:val="008049A8"/>
    <w:rsid w:val="008141D2"/>
    <w:rsid w:val="0081507E"/>
    <w:rsid w:val="008150BC"/>
    <w:rsid w:val="00820EC3"/>
    <w:rsid w:val="0082598A"/>
    <w:rsid w:val="0082767C"/>
    <w:rsid w:val="00837F59"/>
    <w:rsid w:val="00843F32"/>
    <w:rsid w:val="00851CA7"/>
    <w:rsid w:val="00852895"/>
    <w:rsid w:val="00854768"/>
    <w:rsid w:val="0085795E"/>
    <w:rsid w:val="00861FE8"/>
    <w:rsid w:val="00863AFB"/>
    <w:rsid w:val="008719D0"/>
    <w:rsid w:val="00872B20"/>
    <w:rsid w:val="00875E9A"/>
    <w:rsid w:val="00877B35"/>
    <w:rsid w:val="00880BCB"/>
    <w:rsid w:val="00883D9F"/>
    <w:rsid w:val="008848A1"/>
    <w:rsid w:val="008878A4"/>
    <w:rsid w:val="00890E13"/>
    <w:rsid w:val="008A0679"/>
    <w:rsid w:val="008A4FD7"/>
    <w:rsid w:val="008B0CDB"/>
    <w:rsid w:val="008C0DAF"/>
    <w:rsid w:val="008C2D69"/>
    <w:rsid w:val="008C4902"/>
    <w:rsid w:val="008C5A8B"/>
    <w:rsid w:val="008D25F7"/>
    <w:rsid w:val="008D3568"/>
    <w:rsid w:val="008E128E"/>
    <w:rsid w:val="008E17F5"/>
    <w:rsid w:val="008E79B2"/>
    <w:rsid w:val="008F06D4"/>
    <w:rsid w:val="008F26BA"/>
    <w:rsid w:val="008F6E86"/>
    <w:rsid w:val="00912507"/>
    <w:rsid w:val="0092563C"/>
    <w:rsid w:val="00925778"/>
    <w:rsid w:val="00925B91"/>
    <w:rsid w:val="00926FD7"/>
    <w:rsid w:val="00927105"/>
    <w:rsid w:val="00927482"/>
    <w:rsid w:val="0092778D"/>
    <w:rsid w:val="00934E31"/>
    <w:rsid w:val="00941B83"/>
    <w:rsid w:val="00944E50"/>
    <w:rsid w:val="00951956"/>
    <w:rsid w:val="00957B0A"/>
    <w:rsid w:val="00962E06"/>
    <w:rsid w:val="0096745C"/>
    <w:rsid w:val="009757BE"/>
    <w:rsid w:val="00977794"/>
    <w:rsid w:val="009938B0"/>
    <w:rsid w:val="00995322"/>
    <w:rsid w:val="009A5511"/>
    <w:rsid w:val="009A6B1D"/>
    <w:rsid w:val="009B3460"/>
    <w:rsid w:val="009D4F0E"/>
    <w:rsid w:val="009E36DB"/>
    <w:rsid w:val="009F55DB"/>
    <w:rsid w:val="00A056D0"/>
    <w:rsid w:val="00A1430C"/>
    <w:rsid w:val="00A1619C"/>
    <w:rsid w:val="00A22315"/>
    <w:rsid w:val="00A253CC"/>
    <w:rsid w:val="00A30110"/>
    <w:rsid w:val="00A37444"/>
    <w:rsid w:val="00A37A11"/>
    <w:rsid w:val="00A410DE"/>
    <w:rsid w:val="00A43570"/>
    <w:rsid w:val="00A4363D"/>
    <w:rsid w:val="00A545FD"/>
    <w:rsid w:val="00A56F21"/>
    <w:rsid w:val="00A6117E"/>
    <w:rsid w:val="00A632A0"/>
    <w:rsid w:val="00A72ADE"/>
    <w:rsid w:val="00A73B3E"/>
    <w:rsid w:val="00A7702A"/>
    <w:rsid w:val="00A77DC4"/>
    <w:rsid w:val="00A8435D"/>
    <w:rsid w:val="00A912AD"/>
    <w:rsid w:val="00A97ED6"/>
    <w:rsid w:val="00AB1CAB"/>
    <w:rsid w:val="00AC47A1"/>
    <w:rsid w:val="00AC7749"/>
    <w:rsid w:val="00AD0029"/>
    <w:rsid w:val="00AD4717"/>
    <w:rsid w:val="00AD5883"/>
    <w:rsid w:val="00AE04FD"/>
    <w:rsid w:val="00AE12A1"/>
    <w:rsid w:val="00AE19F7"/>
    <w:rsid w:val="00AE43FA"/>
    <w:rsid w:val="00AE5030"/>
    <w:rsid w:val="00AE684F"/>
    <w:rsid w:val="00AF7D89"/>
    <w:rsid w:val="00B02522"/>
    <w:rsid w:val="00B16C3D"/>
    <w:rsid w:val="00B305B1"/>
    <w:rsid w:val="00B3167B"/>
    <w:rsid w:val="00B4009D"/>
    <w:rsid w:val="00B430CF"/>
    <w:rsid w:val="00B44A2C"/>
    <w:rsid w:val="00B450DC"/>
    <w:rsid w:val="00B621BA"/>
    <w:rsid w:val="00B7063E"/>
    <w:rsid w:val="00B70E4B"/>
    <w:rsid w:val="00B906E9"/>
    <w:rsid w:val="00B9075B"/>
    <w:rsid w:val="00B943AE"/>
    <w:rsid w:val="00B97A48"/>
    <w:rsid w:val="00BA3723"/>
    <w:rsid w:val="00BA37B0"/>
    <w:rsid w:val="00BA5D29"/>
    <w:rsid w:val="00BA6CA6"/>
    <w:rsid w:val="00BB0B56"/>
    <w:rsid w:val="00BB0DCB"/>
    <w:rsid w:val="00BC5550"/>
    <w:rsid w:val="00BD7839"/>
    <w:rsid w:val="00BE2E5B"/>
    <w:rsid w:val="00BE6958"/>
    <w:rsid w:val="00BE6BB0"/>
    <w:rsid w:val="00BF3F1E"/>
    <w:rsid w:val="00C12CD0"/>
    <w:rsid w:val="00C1510C"/>
    <w:rsid w:val="00C16BDB"/>
    <w:rsid w:val="00C25A7A"/>
    <w:rsid w:val="00C25ABE"/>
    <w:rsid w:val="00C31D18"/>
    <w:rsid w:val="00C31E49"/>
    <w:rsid w:val="00C32E03"/>
    <w:rsid w:val="00C35D08"/>
    <w:rsid w:val="00C5150D"/>
    <w:rsid w:val="00C53082"/>
    <w:rsid w:val="00C65F68"/>
    <w:rsid w:val="00C701FA"/>
    <w:rsid w:val="00C7700E"/>
    <w:rsid w:val="00C84A38"/>
    <w:rsid w:val="00C84F79"/>
    <w:rsid w:val="00C96CA1"/>
    <w:rsid w:val="00CA1143"/>
    <w:rsid w:val="00CA4232"/>
    <w:rsid w:val="00CB0ECB"/>
    <w:rsid w:val="00CB6DD0"/>
    <w:rsid w:val="00CC1D6B"/>
    <w:rsid w:val="00CC2548"/>
    <w:rsid w:val="00CC4339"/>
    <w:rsid w:val="00CE7F88"/>
    <w:rsid w:val="00CF0FCA"/>
    <w:rsid w:val="00CF422A"/>
    <w:rsid w:val="00CF62BD"/>
    <w:rsid w:val="00CF6D8A"/>
    <w:rsid w:val="00D02BF1"/>
    <w:rsid w:val="00D07478"/>
    <w:rsid w:val="00D10053"/>
    <w:rsid w:val="00D14E9C"/>
    <w:rsid w:val="00D17967"/>
    <w:rsid w:val="00D24927"/>
    <w:rsid w:val="00D2575A"/>
    <w:rsid w:val="00D25E27"/>
    <w:rsid w:val="00D337ED"/>
    <w:rsid w:val="00D42148"/>
    <w:rsid w:val="00D44417"/>
    <w:rsid w:val="00D556A1"/>
    <w:rsid w:val="00D61EAF"/>
    <w:rsid w:val="00D62598"/>
    <w:rsid w:val="00D6577B"/>
    <w:rsid w:val="00D65FE2"/>
    <w:rsid w:val="00D743CE"/>
    <w:rsid w:val="00D8396D"/>
    <w:rsid w:val="00D95CBD"/>
    <w:rsid w:val="00D97AB3"/>
    <w:rsid w:val="00DA3ED4"/>
    <w:rsid w:val="00DB082F"/>
    <w:rsid w:val="00DB622A"/>
    <w:rsid w:val="00DC2EF7"/>
    <w:rsid w:val="00DC447E"/>
    <w:rsid w:val="00DD12D6"/>
    <w:rsid w:val="00DD4F2F"/>
    <w:rsid w:val="00DD598F"/>
    <w:rsid w:val="00DD5D04"/>
    <w:rsid w:val="00DE07D6"/>
    <w:rsid w:val="00DF05CC"/>
    <w:rsid w:val="00DF2E4A"/>
    <w:rsid w:val="00DF5A31"/>
    <w:rsid w:val="00E01326"/>
    <w:rsid w:val="00E04EBF"/>
    <w:rsid w:val="00E05563"/>
    <w:rsid w:val="00E1056A"/>
    <w:rsid w:val="00E1370B"/>
    <w:rsid w:val="00E22FF7"/>
    <w:rsid w:val="00E23530"/>
    <w:rsid w:val="00E23E88"/>
    <w:rsid w:val="00E405CA"/>
    <w:rsid w:val="00E42B98"/>
    <w:rsid w:val="00E441EB"/>
    <w:rsid w:val="00E65320"/>
    <w:rsid w:val="00E846F5"/>
    <w:rsid w:val="00EA3A4D"/>
    <w:rsid w:val="00EA5EBD"/>
    <w:rsid w:val="00EA7400"/>
    <w:rsid w:val="00EB2771"/>
    <w:rsid w:val="00EB5132"/>
    <w:rsid w:val="00EE2C64"/>
    <w:rsid w:val="00EE353C"/>
    <w:rsid w:val="00EF0DE9"/>
    <w:rsid w:val="00EF279B"/>
    <w:rsid w:val="00F04E47"/>
    <w:rsid w:val="00F106C4"/>
    <w:rsid w:val="00F46D20"/>
    <w:rsid w:val="00F50332"/>
    <w:rsid w:val="00F5755C"/>
    <w:rsid w:val="00F62C63"/>
    <w:rsid w:val="00F65A8B"/>
    <w:rsid w:val="00F82151"/>
    <w:rsid w:val="00F90A6F"/>
    <w:rsid w:val="00F95B0D"/>
    <w:rsid w:val="00F95D24"/>
    <w:rsid w:val="00FA0311"/>
    <w:rsid w:val="00FA2121"/>
    <w:rsid w:val="00FA246D"/>
    <w:rsid w:val="00FA446F"/>
    <w:rsid w:val="00FA7324"/>
    <w:rsid w:val="00FB20E7"/>
    <w:rsid w:val="00FB2CD9"/>
    <w:rsid w:val="00FB48A6"/>
    <w:rsid w:val="00FB6DDD"/>
    <w:rsid w:val="00FC139D"/>
    <w:rsid w:val="00FC45EB"/>
    <w:rsid w:val="00FD03C7"/>
    <w:rsid w:val="00FE4C4A"/>
    <w:rsid w:val="00FF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F16C"/>
  <w15:chartTrackingRefBased/>
  <w15:docId w15:val="{8F4D364E-E1F4-47CC-9DA7-732B88FC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F7"/>
    <w:pPr>
      <w:spacing w:after="0" w:line="240" w:lineRule="auto"/>
    </w:pPr>
    <w:rPr>
      <w:rFonts w:eastAsia="Calibri" w:cs="Times New Roman"/>
    </w:rPr>
  </w:style>
  <w:style w:type="paragraph" w:styleId="Heading1">
    <w:name w:val="heading 1"/>
    <w:basedOn w:val="Normal"/>
    <w:next w:val="Normal"/>
    <w:link w:val="Heading1Char"/>
    <w:uiPriority w:val="9"/>
    <w:qFormat/>
    <w:rsid w:val="001946F7"/>
    <w:pPr>
      <w:keepNext/>
      <w:keepLines/>
      <w:outlineLvl w:val="0"/>
    </w:pPr>
    <w:rPr>
      <w:rFonts w:asciiTheme="majorHAnsi" w:eastAsiaTheme="majorEastAsia" w:hAnsiTheme="majorHAnsi" w:cstheme="majorBidi"/>
      <w:b/>
      <w:bCs/>
      <w:caps/>
      <w:color w:val="2F5496" w:themeColor="accent1" w:themeShade="BF"/>
      <w:sz w:val="28"/>
      <w:szCs w:val="28"/>
    </w:rPr>
  </w:style>
  <w:style w:type="paragraph" w:styleId="Heading2">
    <w:name w:val="heading 2"/>
    <w:basedOn w:val="Normal"/>
    <w:next w:val="Normal"/>
    <w:link w:val="Heading2Char"/>
    <w:unhideWhenUsed/>
    <w:qFormat/>
    <w:rsid w:val="001946F7"/>
    <w:pPr>
      <w:keepNext/>
      <w:keepLines/>
      <w:numPr>
        <w:numId w:val="1"/>
      </w:numPr>
      <w:outlineLvl w:val="1"/>
    </w:pPr>
    <w:rPr>
      <w:rFonts w:asciiTheme="majorHAnsi" w:eastAsiaTheme="majorEastAsia" w:hAnsiTheme="majorHAnsi" w:cstheme="majorBidi"/>
      <w:b/>
      <w:bCs/>
      <w:sz w:val="24"/>
    </w:rPr>
  </w:style>
  <w:style w:type="paragraph" w:styleId="Heading3">
    <w:name w:val="heading 3"/>
    <w:basedOn w:val="Normal"/>
    <w:next w:val="Normal"/>
    <w:link w:val="Heading3Char"/>
    <w:unhideWhenUsed/>
    <w:qFormat/>
    <w:rsid w:val="001946F7"/>
    <w:pPr>
      <w:keepNext/>
      <w:keepLines/>
      <w:outlineLvl w:val="2"/>
    </w:pPr>
    <w:rPr>
      <w:rFonts w:asciiTheme="majorHAnsi" w:eastAsiaTheme="majorEastAsia" w:hAnsiTheme="majorHAnsi" w:cstheme="majorBidi"/>
      <w:bCs/>
      <w:i/>
      <w:sz w:val="24"/>
      <w:u w:val="single"/>
    </w:rPr>
  </w:style>
  <w:style w:type="paragraph" w:styleId="Heading4">
    <w:name w:val="heading 4"/>
    <w:basedOn w:val="Normal"/>
    <w:next w:val="Normal"/>
    <w:link w:val="Heading4Char"/>
    <w:uiPriority w:val="9"/>
    <w:unhideWhenUsed/>
    <w:qFormat/>
    <w:rsid w:val="001946F7"/>
    <w:pPr>
      <w:keepNext/>
      <w:keepLines/>
      <w:outlineLvl w:val="3"/>
    </w:pPr>
    <w:rPr>
      <w:rFonts w:asciiTheme="majorHAnsi" w:eastAsiaTheme="majorEastAsia" w:hAnsiTheme="majorHAnsi" w:cstheme="majorBidi"/>
      <w:bCs/>
      <w:i/>
      <w:iCs/>
      <w:sz w:val="24"/>
    </w:rPr>
  </w:style>
  <w:style w:type="paragraph" w:styleId="Heading6">
    <w:name w:val="heading 6"/>
    <w:basedOn w:val="Normal"/>
    <w:next w:val="Normal"/>
    <w:link w:val="Heading6Char"/>
    <w:qFormat/>
    <w:rsid w:val="00BD7839"/>
    <w:pPr>
      <w:keepNext/>
      <w:numPr>
        <w:ilvl w:val="5"/>
        <w:numId w:val="47"/>
      </w:numPr>
      <w:jc w:val="center"/>
      <w:outlineLvl w:val="5"/>
    </w:pPr>
    <w:rPr>
      <w:rFonts w:eastAsia="Times New Roman"/>
      <w:b/>
      <w:bCs/>
      <w:sz w:val="32"/>
    </w:rPr>
  </w:style>
  <w:style w:type="paragraph" w:styleId="Heading7">
    <w:name w:val="heading 7"/>
    <w:basedOn w:val="Normal"/>
    <w:next w:val="Normal"/>
    <w:link w:val="Heading7Char"/>
    <w:rsid w:val="00BD7839"/>
    <w:pPr>
      <w:keepNext/>
      <w:numPr>
        <w:ilvl w:val="6"/>
        <w:numId w:val="47"/>
      </w:numPr>
      <w:jc w:val="center"/>
      <w:outlineLvl w:val="6"/>
    </w:pPr>
    <w:rPr>
      <w:rFonts w:eastAsia="Times New Roman"/>
      <w:b/>
      <w:bCs/>
    </w:rPr>
  </w:style>
  <w:style w:type="paragraph" w:styleId="Heading8">
    <w:name w:val="heading 8"/>
    <w:basedOn w:val="Normal"/>
    <w:next w:val="Normal"/>
    <w:link w:val="Heading8Char"/>
    <w:rsid w:val="00BD7839"/>
    <w:pPr>
      <w:keepNext/>
      <w:numPr>
        <w:ilvl w:val="7"/>
        <w:numId w:val="47"/>
      </w:numPr>
      <w:jc w:val="center"/>
      <w:outlineLvl w:val="7"/>
    </w:pPr>
    <w:rPr>
      <w:rFonts w:eastAsia="Times New Roman"/>
      <w:sz w:val="56"/>
    </w:rPr>
  </w:style>
  <w:style w:type="paragraph" w:styleId="Heading9">
    <w:name w:val="heading 9"/>
    <w:basedOn w:val="Normal"/>
    <w:next w:val="Normal"/>
    <w:link w:val="Heading9Char"/>
    <w:rsid w:val="00BD7839"/>
    <w:pPr>
      <w:keepNext/>
      <w:numPr>
        <w:ilvl w:val="8"/>
        <w:numId w:val="47"/>
      </w:numPr>
      <w:jc w:val="center"/>
      <w:outlineLvl w:val="8"/>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F7"/>
    <w:rPr>
      <w:rFonts w:asciiTheme="majorHAnsi" w:eastAsiaTheme="majorEastAsia" w:hAnsiTheme="majorHAnsi" w:cstheme="majorBidi"/>
      <w:b/>
      <w:bCs/>
      <w:caps/>
      <w:color w:val="2F5496" w:themeColor="accent1" w:themeShade="BF"/>
      <w:sz w:val="28"/>
      <w:szCs w:val="28"/>
    </w:rPr>
  </w:style>
  <w:style w:type="character" w:customStyle="1" w:styleId="Heading2Char">
    <w:name w:val="Heading 2 Char"/>
    <w:basedOn w:val="DefaultParagraphFont"/>
    <w:link w:val="Heading2"/>
    <w:rsid w:val="001946F7"/>
    <w:rPr>
      <w:rFonts w:asciiTheme="majorHAnsi" w:eastAsiaTheme="majorEastAsia" w:hAnsiTheme="majorHAnsi" w:cstheme="majorBidi"/>
      <w:b/>
      <w:bCs/>
      <w:sz w:val="24"/>
    </w:rPr>
  </w:style>
  <w:style w:type="character" w:customStyle="1" w:styleId="Heading3Char">
    <w:name w:val="Heading 3 Char"/>
    <w:basedOn w:val="DefaultParagraphFont"/>
    <w:link w:val="Heading3"/>
    <w:rsid w:val="001946F7"/>
    <w:rPr>
      <w:rFonts w:asciiTheme="majorHAnsi" w:eastAsiaTheme="majorEastAsia" w:hAnsiTheme="majorHAnsi" w:cstheme="majorBidi"/>
      <w:bCs/>
      <w:i/>
      <w:sz w:val="24"/>
      <w:u w:val="single"/>
    </w:rPr>
  </w:style>
  <w:style w:type="character" w:customStyle="1" w:styleId="Heading4Char">
    <w:name w:val="Heading 4 Char"/>
    <w:basedOn w:val="DefaultParagraphFont"/>
    <w:link w:val="Heading4"/>
    <w:uiPriority w:val="9"/>
    <w:rsid w:val="001946F7"/>
    <w:rPr>
      <w:rFonts w:asciiTheme="majorHAnsi" w:eastAsiaTheme="majorEastAsia" w:hAnsiTheme="majorHAnsi" w:cstheme="majorBidi"/>
      <w:bCs/>
      <w:i/>
      <w:iCs/>
      <w:sz w:val="24"/>
    </w:rPr>
  </w:style>
  <w:style w:type="paragraph" w:styleId="ListParagraph">
    <w:name w:val="List Paragraph"/>
    <w:basedOn w:val="Normal"/>
    <w:uiPriority w:val="1"/>
    <w:qFormat/>
    <w:rsid w:val="001946F7"/>
    <w:pPr>
      <w:ind w:left="720"/>
    </w:pPr>
  </w:style>
  <w:style w:type="paragraph" w:styleId="Header">
    <w:name w:val="header"/>
    <w:basedOn w:val="Normal"/>
    <w:link w:val="HeaderChar"/>
    <w:uiPriority w:val="99"/>
    <w:rsid w:val="001946F7"/>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1946F7"/>
    <w:rPr>
      <w:rFonts w:eastAsia="Times New Roman" w:cs="Times New Roman"/>
    </w:rPr>
  </w:style>
  <w:style w:type="paragraph" w:styleId="NormalWeb">
    <w:name w:val="Normal (Web)"/>
    <w:basedOn w:val="Normal"/>
    <w:uiPriority w:val="99"/>
    <w:semiHidden/>
    <w:unhideWhenUsed/>
    <w:rsid w:val="00543BCB"/>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543BCB"/>
    <w:rPr>
      <w:b/>
      <w:bCs/>
    </w:rPr>
  </w:style>
  <w:style w:type="character" w:styleId="Emphasis">
    <w:name w:val="Emphasis"/>
    <w:basedOn w:val="DefaultParagraphFont"/>
    <w:uiPriority w:val="20"/>
    <w:qFormat/>
    <w:rsid w:val="00543BCB"/>
    <w:rPr>
      <w:i/>
      <w:iCs/>
    </w:rPr>
  </w:style>
  <w:style w:type="character" w:styleId="CommentReference">
    <w:name w:val="annotation reference"/>
    <w:basedOn w:val="DefaultParagraphFont"/>
    <w:uiPriority w:val="99"/>
    <w:semiHidden/>
    <w:unhideWhenUsed/>
    <w:rsid w:val="0018620A"/>
    <w:rPr>
      <w:sz w:val="16"/>
      <w:szCs w:val="16"/>
    </w:rPr>
  </w:style>
  <w:style w:type="paragraph" w:styleId="CommentText">
    <w:name w:val="annotation text"/>
    <w:basedOn w:val="Normal"/>
    <w:link w:val="CommentTextChar"/>
    <w:uiPriority w:val="99"/>
    <w:semiHidden/>
    <w:unhideWhenUsed/>
    <w:rsid w:val="0018620A"/>
    <w:rPr>
      <w:sz w:val="20"/>
      <w:szCs w:val="20"/>
    </w:rPr>
  </w:style>
  <w:style w:type="character" w:customStyle="1" w:styleId="CommentTextChar">
    <w:name w:val="Comment Text Char"/>
    <w:basedOn w:val="DefaultParagraphFont"/>
    <w:link w:val="CommentText"/>
    <w:uiPriority w:val="99"/>
    <w:semiHidden/>
    <w:rsid w:val="0018620A"/>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18620A"/>
    <w:rPr>
      <w:b/>
      <w:bCs/>
    </w:rPr>
  </w:style>
  <w:style w:type="character" w:customStyle="1" w:styleId="CommentSubjectChar">
    <w:name w:val="Comment Subject Char"/>
    <w:basedOn w:val="CommentTextChar"/>
    <w:link w:val="CommentSubject"/>
    <w:uiPriority w:val="99"/>
    <w:semiHidden/>
    <w:rsid w:val="0018620A"/>
    <w:rPr>
      <w:rFonts w:eastAsia="Calibri" w:cs="Times New Roman"/>
      <w:b/>
      <w:bCs/>
      <w:sz w:val="20"/>
      <w:szCs w:val="20"/>
    </w:rPr>
  </w:style>
  <w:style w:type="paragraph" w:styleId="BalloonText">
    <w:name w:val="Balloon Text"/>
    <w:basedOn w:val="Normal"/>
    <w:link w:val="BalloonTextChar"/>
    <w:uiPriority w:val="99"/>
    <w:semiHidden/>
    <w:unhideWhenUsed/>
    <w:rsid w:val="001862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20A"/>
    <w:rPr>
      <w:rFonts w:ascii="Segoe UI" w:eastAsia="Calibri" w:hAnsi="Segoe UI" w:cs="Segoe UI"/>
      <w:sz w:val="18"/>
      <w:szCs w:val="18"/>
    </w:rPr>
  </w:style>
  <w:style w:type="character" w:customStyle="1" w:styleId="Heading6Char">
    <w:name w:val="Heading 6 Char"/>
    <w:basedOn w:val="DefaultParagraphFont"/>
    <w:link w:val="Heading6"/>
    <w:rsid w:val="00BD7839"/>
    <w:rPr>
      <w:rFonts w:eastAsia="Times New Roman" w:cs="Times New Roman"/>
      <w:b/>
      <w:bCs/>
      <w:sz w:val="32"/>
    </w:rPr>
  </w:style>
  <w:style w:type="character" w:customStyle="1" w:styleId="Heading7Char">
    <w:name w:val="Heading 7 Char"/>
    <w:basedOn w:val="DefaultParagraphFont"/>
    <w:link w:val="Heading7"/>
    <w:rsid w:val="00BD7839"/>
    <w:rPr>
      <w:rFonts w:eastAsia="Times New Roman" w:cs="Times New Roman"/>
      <w:b/>
      <w:bCs/>
    </w:rPr>
  </w:style>
  <w:style w:type="character" w:customStyle="1" w:styleId="Heading8Char">
    <w:name w:val="Heading 8 Char"/>
    <w:basedOn w:val="DefaultParagraphFont"/>
    <w:link w:val="Heading8"/>
    <w:rsid w:val="00BD7839"/>
    <w:rPr>
      <w:rFonts w:eastAsia="Times New Roman" w:cs="Times New Roman"/>
      <w:sz w:val="56"/>
    </w:rPr>
  </w:style>
  <w:style w:type="character" w:customStyle="1" w:styleId="Heading9Char">
    <w:name w:val="Heading 9 Char"/>
    <w:basedOn w:val="DefaultParagraphFont"/>
    <w:link w:val="Heading9"/>
    <w:rsid w:val="00BD7839"/>
    <w:rPr>
      <w:rFonts w:eastAsia="Times New Roman"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75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5254-9101-456D-A9E8-8901EEC7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5197</Words>
  <Characters>29627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Watanabe</dc:creator>
  <cp:keywords/>
  <dc:description/>
  <cp:lastModifiedBy>Craig Watanabe</cp:lastModifiedBy>
  <cp:revision>482</cp:revision>
  <dcterms:created xsi:type="dcterms:W3CDTF">2020-12-23T01:38:00Z</dcterms:created>
  <dcterms:modified xsi:type="dcterms:W3CDTF">2022-09-19T17:40:00Z</dcterms:modified>
</cp:coreProperties>
</file>